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B1" w:rsidRPr="000B755F" w:rsidRDefault="00F060D1" w:rsidP="00431329">
      <w:pPr>
        <w:spacing w:after="0" w:line="240" w:lineRule="auto"/>
        <w:rPr>
          <w:rFonts w:asciiTheme="majorHAnsi" w:eastAsia="DejaVu Serif" w:hAnsiTheme="majorHAnsi" w:cs="Arial"/>
          <w:b/>
          <w:sz w:val="24"/>
          <w:szCs w:val="24"/>
        </w:rPr>
      </w:pPr>
      <w:bookmarkStart w:id="0" w:name="_GoBack"/>
      <w:bookmarkEnd w:id="0"/>
      <w:r w:rsidRPr="000B755F">
        <w:rPr>
          <w:rFonts w:asciiTheme="majorHAnsi" w:eastAsia="DejaVu Serif" w:hAnsiTheme="majorHAnsi" w:cs="Arial"/>
          <w:b/>
          <w:sz w:val="24"/>
          <w:szCs w:val="24"/>
        </w:rPr>
        <w:t xml:space="preserve">Processo Administrativo </w:t>
      </w:r>
      <w:r w:rsidR="00CC4C8A" w:rsidRPr="000B755F">
        <w:rPr>
          <w:rFonts w:asciiTheme="majorHAnsi" w:eastAsia="DejaVu Serif" w:hAnsiTheme="majorHAnsi" w:cs="Arial"/>
          <w:b/>
          <w:sz w:val="24"/>
          <w:szCs w:val="24"/>
        </w:rPr>
        <w:t>nº 01/2018</w:t>
      </w:r>
    </w:p>
    <w:p w:rsidR="00431329" w:rsidRPr="000B755F" w:rsidRDefault="00CC4C8A" w:rsidP="00431329">
      <w:pPr>
        <w:spacing w:after="0" w:line="240" w:lineRule="auto"/>
        <w:rPr>
          <w:rFonts w:asciiTheme="majorHAnsi" w:eastAsia="DejaVu Serif" w:hAnsiTheme="majorHAnsi" w:cs="Arial"/>
          <w:b/>
          <w:sz w:val="24"/>
          <w:szCs w:val="24"/>
        </w:rPr>
      </w:pPr>
      <w:r w:rsidRPr="000B755F">
        <w:rPr>
          <w:rFonts w:asciiTheme="majorHAnsi" w:eastAsia="DejaVu Serif" w:hAnsiTheme="majorHAnsi" w:cs="Arial"/>
          <w:b/>
          <w:sz w:val="24"/>
          <w:szCs w:val="24"/>
        </w:rPr>
        <w:t>Empresa processada: Líder Materiais Elétricos Ltda</w:t>
      </w:r>
    </w:p>
    <w:p w:rsidR="00F060D1" w:rsidRPr="000B755F" w:rsidRDefault="00F060D1" w:rsidP="00A7119D">
      <w:pPr>
        <w:spacing w:line="360" w:lineRule="auto"/>
        <w:jc w:val="center"/>
        <w:rPr>
          <w:rFonts w:asciiTheme="majorHAnsi" w:eastAsia="DejaVu Serif" w:hAnsiTheme="majorHAnsi" w:cs="Arial"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DA411F" w:rsidRDefault="00DA411F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</w:p>
    <w:p w:rsidR="00E55ACA" w:rsidRPr="000B755F" w:rsidRDefault="00FA42E0" w:rsidP="00FA42E0">
      <w:pPr>
        <w:suppressAutoHyphens w:val="0"/>
        <w:autoSpaceDE w:val="0"/>
        <w:spacing w:after="0" w:line="240" w:lineRule="auto"/>
        <w:jc w:val="center"/>
        <w:rPr>
          <w:rFonts w:asciiTheme="majorHAnsi" w:eastAsia="DejaVu Serif" w:hAnsiTheme="majorHAnsi" w:cs="Arial"/>
          <w:b/>
          <w:bCs/>
          <w:sz w:val="24"/>
          <w:szCs w:val="24"/>
        </w:rPr>
      </w:pPr>
      <w:r w:rsidRPr="000B755F">
        <w:rPr>
          <w:rFonts w:asciiTheme="majorHAnsi" w:eastAsia="DejaVu Serif" w:hAnsiTheme="majorHAnsi" w:cs="Arial"/>
          <w:b/>
          <w:bCs/>
          <w:sz w:val="24"/>
          <w:szCs w:val="24"/>
        </w:rPr>
        <w:t>DECISÃO ADMINISTRATIVA</w:t>
      </w:r>
    </w:p>
    <w:p w:rsidR="00431329" w:rsidRPr="000B755F" w:rsidRDefault="00431329" w:rsidP="00431329">
      <w:pPr>
        <w:suppressAutoHyphens w:val="0"/>
        <w:autoSpaceDE w:val="0"/>
        <w:spacing w:after="0" w:line="240" w:lineRule="auto"/>
        <w:jc w:val="both"/>
        <w:rPr>
          <w:rFonts w:asciiTheme="majorHAnsi" w:eastAsia="DejaVu Serif" w:hAnsiTheme="majorHAnsi" w:cs="Arial"/>
          <w:sz w:val="24"/>
          <w:szCs w:val="24"/>
        </w:rPr>
      </w:pPr>
    </w:p>
    <w:p w:rsidR="00E55ACA" w:rsidRPr="000B755F" w:rsidRDefault="00E55ACA" w:rsidP="00714488">
      <w:pPr>
        <w:suppressAutoHyphens w:val="0"/>
        <w:autoSpaceDE w:val="0"/>
        <w:spacing w:after="0" w:line="240" w:lineRule="auto"/>
        <w:jc w:val="both"/>
        <w:rPr>
          <w:rFonts w:asciiTheme="majorHAnsi" w:eastAsia="DejaVu Serif" w:hAnsiTheme="majorHAnsi" w:cs="Arial"/>
          <w:sz w:val="24"/>
          <w:szCs w:val="24"/>
        </w:rPr>
      </w:pPr>
    </w:p>
    <w:p w:rsidR="00E772D4" w:rsidRPr="000B755F" w:rsidRDefault="00E772D4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b/>
          <w:sz w:val="24"/>
          <w:szCs w:val="24"/>
        </w:rPr>
      </w:pPr>
      <w:r w:rsidRPr="000B755F">
        <w:rPr>
          <w:rFonts w:asciiTheme="majorHAnsi" w:eastAsia="DejaVu Serif" w:hAnsiTheme="majorHAnsi" w:cs="Arial"/>
          <w:b/>
          <w:sz w:val="24"/>
          <w:szCs w:val="24"/>
        </w:rPr>
        <w:t>RELATÓRIO</w:t>
      </w:r>
      <w:r w:rsidR="00CC4C8A" w:rsidRPr="000B755F">
        <w:rPr>
          <w:rFonts w:asciiTheme="majorHAnsi" w:eastAsia="DejaVu Serif" w:hAnsiTheme="majorHAnsi" w:cs="Arial"/>
          <w:b/>
          <w:sz w:val="24"/>
          <w:szCs w:val="24"/>
        </w:rPr>
        <w:t xml:space="preserve"> </w:t>
      </w:r>
    </w:p>
    <w:p w:rsidR="00431329" w:rsidRPr="000B755F" w:rsidRDefault="00431329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  <w:r w:rsidRPr="000B755F">
        <w:rPr>
          <w:rFonts w:asciiTheme="majorHAnsi" w:eastAsia="DejaVu Serif" w:hAnsiTheme="majorHAnsi" w:cs="Arial"/>
          <w:sz w:val="24"/>
          <w:szCs w:val="24"/>
        </w:rPr>
        <w:t xml:space="preserve">Trata-se de processo administrativo instaurado </w:t>
      </w:r>
      <w:r w:rsidRPr="000B755F">
        <w:rPr>
          <w:rFonts w:asciiTheme="majorHAnsi" w:hAnsiTheme="majorHAnsi" w:cs="Arial"/>
          <w:color w:val="000000" w:themeColor="text1"/>
          <w:sz w:val="24"/>
          <w:szCs w:val="24"/>
        </w:rPr>
        <w:t xml:space="preserve">pelo do Decreto nº </w:t>
      </w:r>
      <w:r w:rsidR="003B6534" w:rsidRPr="000B755F">
        <w:rPr>
          <w:rFonts w:asciiTheme="majorHAnsi" w:hAnsiTheme="majorHAnsi" w:cs="Arial"/>
          <w:color w:val="000000" w:themeColor="text1"/>
          <w:sz w:val="24"/>
          <w:szCs w:val="24"/>
        </w:rPr>
        <w:t>2.367/2018</w:t>
      </w:r>
      <w:r w:rsidRPr="000B755F">
        <w:rPr>
          <w:rFonts w:asciiTheme="majorHAnsi" w:hAnsiTheme="majorHAnsi" w:cs="Arial"/>
          <w:color w:val="000000" w:themeColor="text1"/>
          <w:sz w:val="24"/>
          <w:szCs w:val="24"/>
        </w:rPr>
        <w:t xml:space="preserve">, de </w:t>
      </w:r>
      <w:r w:rsidR="003B6534" w:rsidRPr="000B755F">
        <w:rPr>
          <w:rFonts w:asciiTheme="majorHAnsi" w:hAnsiTheme="majorHAnsi" w:cs="Arial"/>
          <w:color w:val="000000" w:themeColor="text1"/>
          <w:sz w:val="24"/>
          <w:szCs w:val="24"/>
        </w:rPr>
        <w:t>12 de março de 2018</w:t>
      </w:r>
      <w:r w:rsidRPr="000B755F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0B755F">
        <w:rPr>
          <w:rFonts w:asciiTheme="majorHAnsi" w:eastAsia="DejaVu Serif" w:hAnsiTheme="majorHAnsi" w:cs="Arial"/>
          <w:sz w:val="24"/>
          <w:szCs w:val="24"/>
        </w:rPr>
        <w:t xml:space="preserve"> </w:t>
      </w:r>
      <w:r w:rsidR="003B6534" w:rsidRPr="000B755F">
        <w:rPr>
          <w:rFonts w:asciiTheme="majorHAnsi" w:eastAsia="DejaVu Serif" w:hAnsiTheme="majorHAnsi" w:cs="Arial"/>
          <w:sz w:val="24"/>
          <w:szCs w:val="24"/>
        </w:rPr>
        <w:t>contra a empresa Líder Materiais Elétricos, com a finalidade de apurar a inexecução contratual, a violação de cláusulas contratuais e aplicar as sanções legais e contratuais cabíveis.</w:t>
      </w:r>
    </w:p>
    <w:p w:rsidR="003B6534" w:rsidRPr="000B755F" w:rsidRDefault="003B6534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  <w:r w:rsidRPr="000B755F">
        <w:rPr>
          <w:rFonts w:asciiTheme="majorHAnsi" w:eastAsia="DejaVu Serif" w:hAnsiTheme="majorHAnsi" w:cs="Arial"/>
          <w:sz w:val="24"/>
          <w:szCs w:val="24"/>
        </w:rPr>
        <w:t xml:space="preserve">A empresa foi notificada da instauração do processo administrativo e para apresentar defesa no prazo legal, mas 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 xml:space="preserve">deixou o prazo correr </w:t>
      </w:r>
      <w:r w:rsidR="007F7318" w:rsidRPr="000B755F">
        <w:rPr>
          <w:rFonts w:asciiTheme="majorHAnsi" w:eastAsia="DejaVu Serif" w:hAnsiTheme="majorHAnsi" w:cs="Arial"/>
          <w:i/>
          <w:sz w:val="24"/>
          <w:szCs w:val="24"/>
        </w:rPr>
        <w:t>in albis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>.</w:t>
      </w:r>
    </w:p>
    <w:p w:rsidR="003B6534" w:rsidRPr="000B755F" w:rsidRDefault="003B6534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  <w:r w:rsidRPr="000B755F">
        <w:rPr>
          <w:rFonts w:asciiTheme="majorHAnsi" w:eastAsia="DejaVu Serif" w:hAnsiTheme="majorHAnsi" w:cs="Arial"/>
          <w:sz w:val="24"/>
          <w:szCs w:val="24"/>
        </w:rPr>
        <w:t xml:space="preserve">Nomeou advogado 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>(</w:t>
      </w:r>
      <w:r w:rsidRPr="000B755F">
        <w:rPr>
          <w:rFonts w:asciiTheme="majorHAnsi" w:eastAsia="DejaVu Serif" w:hAnsiTheme="majorHAnsi" w:cs="Arial"/>
          <w:sz w:val="24"/>
          <w:szCs w:val="24"/>
        </w:rPr>
        <w:t>fl. 56) que acompanhou a oitiva de testemunhas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>. Intimada</w:t>
      </w:r>
      <w:r w:rsidRPr="000B755F">
        <w:rPr>
          <w:rFonts w:asciiTheme="majorHAnsi" w:eastAsia="DejaVu Serif" w:hAnsiTheme="majorHAnsi" w:cs="Arial"/>
          <w:sz w:val="24"/>
          <w:szCs w:val="24"/>
        </w:rPr>
        <w:t xml:space="preserve"> pessoalmente e por seu advogado para apresentar as razões finais, permaneceu silente novamente.</w:t>
      </w:r>
    </w:p>
    <w:p w:rsidR="003B6534" w:rsidRPr="000B755F" w:rsidRDefault="003B6534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  <w:r w:rsidRPr="000B755F">
        <w:rPr>
          <w:rFonts w:asciiTheme="majorHAnsi" w:eastAsia="DejaVu Serif" w:hAnsiTheme="majorHAnsi" w:cs="Arial"/>
          <w:sz w:val="24"/>
          <w:szCs w:val="24"/>
        </w:rPr>
        <w:t>A comissão processante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 xml:space="preserve">, nomeada também pelo </w:t>
      </w:r>
      <w:r w:rsidR="007F7318" w:rsidRPr="000B755F">
        <w:rPr>
          <w:rFonts w:asciiTheme="majorHAnsi" w:hAnsiTheme="majorHAnsi" w:cs="Arial"/>
          <w:color w:val="000000" w:themeColor="text1"/>
          <w:sz w:val="24"/>
          <w:szCs w:val="24"/>
        </w:rPr>
        <w:t>Decreto nº 2.367/2018, de 12 de março de 2018,</w:t>
      </w:r>
      <w:r w:rsidRPr="000B755F">
        <w:rPr>
          <w:rFonts w:asciiTheme="majorHAnsi" w:eastAsia="DejaVu Serif" w:hAnsiTheme="majorHAnsi" w:cs="Arial"/>
          <w:sz w:val="24"/>
          <w:szCs w:val="24"/>
        </w:rPr>
        <w:t xml:space="preserve"> elaborou relatório final no qual concluiu pela aplicação de multa no valor de 10% (dez por cento) do valor total do contrato PMC 128/2017 e 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 xml:space="preserve">pela aplicação concomitante </w:t>
      </w:r>
      <w:r w:rsidRPr="000B755F">
        <w:rPr>
          <w:rFonts w:asciiTheme="majorHAnsi" w:eastAsia="DejaVu Serif" w:hAnsiTheme="majorHAnsi" w:cs="Arial"/>
          <w:sz w:val="24"/>
          <w:szCs w:val="24"/>
        </w:rPr>
        <w:t>da pena de suspensão temporária do direito de participar em licitações e impedimento de cotratar com a Administração pelo prazo de 2(dois) anos</w:t>
      </w:r>
      <w:r w:rsidR="007F7318" w:rsidRPr="000B755F">
        <w:rPr>
          <w:rFonts w:asciiTheme="majorHAnsi" w:eastAsia="DejaVu Serif" w:hAnsiTheme="majorHAnsi" w:cs="Arial"/>
          <w:sz w:val="24"/>
          <w:szCs w:val="24"/>
        </w:rPr>
        <w:t>.</w:t>
      </w:r>
    </w:p>
    <w:p w:rsidR="007F7318" w:rsidRDefault="007F7318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  <w:r w:rsidRPr="000B755F">
        <w:rPr>
          <w:rFonts w:asciiTheme="majorHAnsi" w:eastAsia="DejaVu Serif" w:hAnsiTheme="majorHAnsi" w:cs="Arial"/>
          <w:sz w:val="24"/>
          <w:szCs w:val="24"/>
        </w:rPr>
        <w:t>Do essencial é a espremida síntese.</w:t>
      </w:r>
    </w:p>
    <w:p w:rsidR="00DA411F" w:rsidRPr="000B755F" w:rsidRDefault="00DA411F" w:rsidP="00431329">
      <w:pPr>
        <w:suppressAutoHyphens w:val="0"/>
        <w:autoSpaceDE w:val="0"/>
        <w:spacing w:after="240" w:line="360" w:lineRule="auto"/>
        <w:jc w:val="both"/>
        <w:rPr>
          <w:rFonts w:asciiTheme="majorHAnsi" w:eastAsia="DejaVu Serif" w:hAnsiTheme="majorHAnsi" w:cs="Arial"/>
          <w:sz w:val="24"/>
          <w:szCs w:val="24"/>
        </w:rPr>
      </w:pPr>
    </w:p>
    <w:p w:rsidR="007F7318" w:rsidRPr="000B755F" w:rsidRDefault="007F7318" w:rsidP="0028739C">
      <w:pPr>
        <w:spacing w:after="24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0B755F">
        <w:rPr>
          <w:rFonts w:asciiTheme="majorHAnsi" w:hAnsiTheme="majorHAnsi" w:cs="Tahoma"/>
          <w:b/>
          <w:sz w:val="24"/>
          <w:szCs w:val="24"/>
        </w:rPr>
        <w:lastRenderedPageBreak/>
        <w:t>FUNDAMENTAÇÃO</w:t>
      </w:r>
    </w:p>
    <w:p w:rsidR="00FD2991" w:rsidRPr="000B755F" w:rsidRDefault="00FD2991" w:rsidP="0028739C">
      <w:pPr>
        <w:spacing w:after="24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0B755F">
        <w:rPr>
          <w:rFonts w:asciiTheme="majorHAnsi" w:hAnsiTheme="majorHAnsi" w:cs="Tahoma"/>
          <w:sz w:val="24"/>
          <w:szCs w:val="24"/>
        </w:rPr>
        <w:t>O presente processo administrativo visou apurar o descumprimento de obrigações legais e contratuais, previstas no instrumento convocatório, pela empresa contratada</w:t>
      </w:r>
      <w:r w:rsidR="00DA411F">
        <w:rPr>
          <w:rFonts w:asciiTheme="majorHAnsi" w:hAnsiTheme="majorHAnsi" w:cs="Tahoma"/>
          <w:sz w:val="24"/>
          <w:szCs w:val="24"/>
        </w:rPr>
        <w:t xml:space="preserve"> e aplicar as penalidades pertinentes.</w:t>
      </w:r>
    </w:p>
    <w:p w:rsidR="000B755F" w:rsidRPr="000B755F" w:rsidRDefault="000B755F" w:rsidP="000B755F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 relatório da Comissão Processante demonstrou que empresa contratante descumpriu os itinerários e horários de coleta de resíduos, prestando serviços inadequados, fora das especificações previstas no ato convocatório do certame e em desacordo com o pactuado com o Município e que tais descumprimentos causaram inúmeros problemas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inclusive sanitários,</w:t>
      </w: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na cidade. Também se demonstrou que a empresa</w:t>
      </w:r>
      <w:r w:rsidR="00194BB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</w:t>
      </w: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instada a corrigir os problemas, manteve-se inerte.  Além disso, a empresa contratada dispôs de caminhão de coleta com capacidade inferior à que foi exigida no edital</w:t>
      </w:r>
      <w:r w:rsidR="00194BB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e com idade superior à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máxima</w:t>
      </w: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exigida, e quando notificada a comprovar a regularidade, permaneceu silente.</w:t>
      </w:r>
    </w:p>
    <w:p w:rsidR="000B755F" w:rsidRDefault="000B755F" w:rsidP="000B755F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B755F">
        <w:rPr>
          <w:rFonts w:asciiTheme="majorHAnsi" w:hAnsiTheme="majorHAnsi" w:cs="Arial"/>
          <w:sz w:val="24"/>
          <w:szCs w:val="24"/>
        </w:rPr>
        <w:t xml:space="preserve">O descumprimento dos horários, dias e itinerários de coleta, o atraso na coleta e a permanência de lixo </w:t>
      </w:r>
      <w:r>
        <w:rPr>
          <w:rFonts w:asciiTheme="majorHAnsi" w:hAnsiTheme="majorHAnsi" w:cs="Arial"/>
          <w:sz w:val="24"/>
          <w:szCs w:val="24"/>
        </w:rPr>
        <w:t xml:space="preserve">amontoado </w:t>
      </w:r>
      <w:r w:rsidRPr="000B755F">
        <w:rPr>
          <w:rFonts w:asciiTheme="majorHAnsi" w:hAnsiTheme="majorHAnsi" w:cs="Arial"/>
          <w:sz w:val="24"/>
          <w:szCs w:val="24"/>
        </w:rPr>
        <w:t>no meio da rua fo</w:t>
      </w:r>
      <w:r>
        <w:rPr>
          <w:rFonts w:asciiTheme="majorHAnsi" w:hAnsiTheme="majorHAnsi" w:cs="Arial"/>
          <w:sz w:val="24"/>
          <w:szCs w:val="24"/>
        </w:rPr>
        <w:t>ram</w:t>
      </w:r>
      <w:r w:rsidRPr="000B755F">
        <w:rPr>
          <w:rFonts w:asciiTheme="majorHAnsi" w:hAnsiTheme="majorHAnsi" w:cs="Arial"/>
          <w:sz w:val="24"/>
          <w:szCs w:val="24"/>
        </w:rPr>
        <w:t xml:space="preserve"> cabalmente comprovado</w:t>
      </w:r>
      <w:r>
        <w:rPr>
          <w:rFonts w:asciiTheme="majorHAnsi" w:hAnsiTheme="majorHAnsi" w:cs="Arial"/>
          <w:sz w:val="24"/>
          <w:szCs w:val="24"/>
        </w:rPr>
        <w:t>s</w:t>
      </w:r>
      <w:r w:rsidRPr="000B755F">
        <w:rPr>
          <w:rFonts w:asciiTheme="majorHAnsi" w:hAnsiTheme="majorHAnsi" w:cs="Arial"/>
          <w:sz w:val="24"/>
          <w:szCs w:val="24"/>
        </w:rPr>
        <w:t>.</w:t>
      </w:r>
    </w:p>
    <w:p w:rsidR="000B755F" w:rsidRDefault="000B755F" w:rsidP="000B755F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idade do veículo </w:t>
      </w:r>
      <w:r w:rsidR="00194BB0">
        <w:rPr>
          <w:rFonts w:asciiTheme="majorHAnsi" w:hAnsiTheme="majorHAnsi" w:cs="Arial"/>
          <w:sz w:val="24"/>
          <w:szCs w:val="24"/>
        </w:rPr>
        <w:t>de coleta superior à idade máxima prevista no edital também foi demonstrada</w:t>
      </w:r>
      <w:r>
        <w:rPr>
          <w:rFonts w:asciiTheme="majorHAnsi" w:hAnsiTheme="majorHAnsi" w:cs="Arial"/>
          <w:sz w:val="24"/>
          <w:szCs w:val="24"/>
        </w:rPr>
        <w:t>, assim como o descumprimento das obrigações trabalhistas de higiene e segurança do trabalho</w:t>
      </w:r>
      <w:r w:rsidR="00194BB0">
        <w:rPr>
          <w:rFonts w:asciiTheme="majorHAnsi" w:hAnsiTheme="majorHAnsi" w:cs="Arial"/>
          <w:sz w:val="24"/>
          <w:szCs w:val="24"/>
        </w:rPr>
        <w:t xml:space="preserve"> (descumprimento de exigências legais na execução do contrato).</w:t>
      </w:r>
    </w:p>
    <w:p w:rsidR="00E44ECD" w:rsidRPr="000B755F" w:rsidRDefault="00194BB0" w:rsidP="00194BB0">
      <w:pPr>
        <w:suppressAutoHyphens w:val="0"/>
        <w:autoSpaceDE w:val="0"/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Assim, c</w:t>
      </w:r>
      <w:r w:rsidR="00FD2991" w:rsidRPr="000B755F">
        <w:rPr>
          <w:rFonts w:asciiTheme="majorHAnsi" w:hAnsiTheme="majorHAnsi" w:cs="Tahoma"/>
          <w:sz w:val="24"/>
          <w:szCs w:val="24"/>
        </w:rPr>
        <w:t xml:space="preserve">onforme </w:t>
      </w:r>
      <w:r w:rsidR="00E44ECD" w:rsidRPr="000B755F">
        <w:rPr>
          <w:rFonts w:asciiTheme="majorHAnsi" w:hAnsiTheme="majorHAnsi" w:cs="Tahoma"/>
          <w:sz w:val="24"/>
          <w:szCs w:val="24"/>
        </w:rPr>
        <w:t>consta do</w:t>
      </w:r>
      <w:r w:rsidR="00FD2991" w:rsidRPr="000B755F">
        <w:rPr>
          <w:rFonts w:asciiTheme="majorHAnsi" w:hAnsiTheme="majorHAnsi" w:cs="Tahoma"/>
          <w:sz w:val="24"/>
          <w:szCs w:val="24"/>
        </w:rPr>
        <w:t xml:space="preserve"> relatório elaborado pela comissão processante, </w:t>
      </w:r>
      <w:r w:rsidR="00E44ECD" w:rsidRPr="000B755F">
        <w:rPr>
          <w:rFonts w:asciiTheme="majorHAnsi" w:hAnsiTheme="majorHAnsi" w:cs="Tahoma"/>
          <w:sz w:val="24"/>
          <w:szCs w:val="24"/>
        </w:rPr>
        <w:t>a prova documental e testemunhal careada aos autos demonstrou que a empresa contratada descumpriu o</w:t>
      </w:r>
      <w:r w:rsidR="00E44ECD" w:rsidRPr="000B755F">
        <w:rPr>
          <w:rFonts w:asciiTheme="majorHAnsi" w:hAnsiTheme="majorHAnsi" w:cs="Arial"/>
          <w:sz w:val="24"/>
          <w:szCs w:val="24"/>
        </w:rPr>
        <w:t>s subitens nº 1.2.1., 2.4., 3.2., 4.1.1., 4.1.2., 4.1.10, “</w:t>
      </w:r>
      <w:r w:rsidR="00E44ECD" w:rsidRPr="000B755F">
        <w:rPr>
          <w:rFonts w:asciiTheme="majorHAnsi" w:hAnsiTheme="majorHAnsi" w:cs="Arial"/>
          <w:i/>
          <w:sz w:val="24"/>
          <w:szCs w:val="24"/>
        </w:rPr>
        <w:t>a”, e “e</w:t>
      </w:r>
      <w:r w:rsidR="00E44ECD" w:rsidRPr="000B755F">
        <w:rPr>
          <w:rFonts w:asciiTheme="majorHAnsi" w:hAnsiTheme="majorHAnsi" w:cs="Arial"/>
          <w:sz w:val="24"/>
          <w:szCs w:val="24"/>
        </w:rPr>
        <w:t>”, do contrato administrativo nº 0128/2017, bem como, descumpriu o subitem nº 6.3.4. “g1” e “o” item 6 do Anexo I, do Edital de Tomada de Preços nº 07/2017.</w:t>
      </w:r>
    </w:p>
    <w:p w:rsidR="00E44ECD" w:rsidRPr="000B755F" w:rsidRDefault="00E44ECD" w:rsidP="00194BB0">
      <w:pPr>
        <w:suppressAutoHyphens w:val="0"/>
        <w:autoSpaceDE w:val="0"/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B755F">
        <w:rPr>
          <w:rFonts w:asciiTheme="majorHAnsi" w:hAnsiTheme="majorHAnsi" w:cs="Arial"/>
          <w:sz w:val="24"/>
          <w:szCs w:val="24"/>
        </w:rPr>
        <w:t>O descumprimento de obrigações e cláusulas contratuais enseja a aplicação de penalidades previstas na Lei de Licitações – Lei nº 8.666/1993, que devem ser gradadas conforme o caso concreto.</w:t>
      </w:r>
    </w:p>
    <w:p w:rsidR="00E44ECD" w:rsidRPr="000B755F" w:rsidRDefault="00E44ECD" w:rsidP="00E44ECD">
      <w:pPr>
        <w:suppressAutoHyphens w:val="0"/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B755F">
        <w:rPr>
          <w:rFonts w:asciiTheme="majorHAnsi" w:hAnsiTheme="majorHAnsi" w:cs="Arial"/>
          <w:sz w:val="24"/>
          <w:szCs w:val="24"/>
        </w:rPr>
        <w:t>Estabelece a Lei nº 8.666/1993:</w:t>
      </w:r>
    </w:p>
    <w:p w:rsidR="00C84B3C" w:rsidRPr="000B755F" w:rsidRDefault="00C84B3C" w:rsidP="00E44ECD">
      <w:pPr>
        <w:suppressAutoHyphens w:val="0"/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44ECD" w:rsidRPr="00E44ECD" w:rsidRDefault="00E44ECD" w:rsidP="00C84B3C">
      <w:pPr>
        <w:suppressAutoHyphens w:val="0"/>
        <w:spacing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pt-BR"/>
        </w:rPr>
      </w:pPr>
      <w:r w:rsidRPr="00E44ECD"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  <w:lastRenderedPageBreak/>
        <w:t>Art. 77.  A inexecução total ou parcial do contrato enseja a sua rescisão, com as conseqüências contratuais e as previstas em lei ou regulamento.</w:t>
      </w:r>
    </w:p>
    <w:p w:rsidR="00E44ECD" w:rsidRPr="00E44ECD" w:rsidRDefault="00E44ECD" w:rsidP="00C84B3C">
      <w:pPr>
        <w:suppressAutoHyphens w:val="0"/>
        <w:spacing w:after="0" w:line="240" w:lineRule="auto"/>
        <w:ind w:left="2268"/>
        <w:rPr>
          <w:rFonts w:asciiTheme="majorHAnsi" w:eastAsia="Times New Roman" w:hAnsiTheme="majorHAnsi" w:cs="Times New Roman"/>
          <w:color w:val="000000"/>
          <w:sz w:val="20"/>
          <w:szCs w:val="20"/>
          <w:lang w:eastAsia="pt-BR"/>
        </w:rPr>
      </w:pPr>
      <w:bookmarkStart w:id="1" w:name="art78"/>
      <w:bookmarkEnd w:id="1"/>
      <w:r w:rsidRPr="00E44ECD"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  <w:t>Art. 78.  Constituem motivo para rescisão do contrato:</w:t>
      </w:r>
    </w:p>
    <w:p w:rsidR="00E44ECD" w:rsidRPr="000B755F" w:rsidRDefault="00E44ECD" w:rsidP="00C84B3C">
      <w:pPr>
        <w:suppressAutoHyphens w:val="0"/>
        <w:spacing w:after="0" w:line="240" w:lineRule="auto"/>
        <w:ind w:left="2268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</w:pPr>
      <w:bookmarkStart w:id="2" w:name="art78i"/>
      <w:bookmarkEnd w:id="2"/>
      <w:r w:rsidRPr="00E44ECD"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  <w:t>I - o não cumprimento de cláusulas contratuais, especificações, projetos ou prazos;</w:t>
      </w:r>
      <w:r w:rsidRPr="000B755F"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  <w:t xml:space="preserve"> </w:t>
      </w:r>
    </w:p>
    <w:p w:rsidR="00E44ECD" w:rsidRPr="000B755F" w:rsidRDefault="00E44ECD" w:rsidP="00C84B3C">
      <w:pPr>
        <w:suppressAutoHyphens w:val="0"/>
        <w:spacing w:after="0" w:line="240" w:lineRule="auto"/>
        <w:ind w:left="2268"/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</w:pPr>
      <w:r w:rsidRPr="000B755F">
        <w:rPr>
          <w:rFonts w:asciiTheme="majorHAnsi" w:eastAsia="Times New Roman" w:hAnsiTheme="majorHAnsi" w:cs="Arial"/>
          <w:color w:val="000000"/>
          <w:sz w:val="20"/>
          <w:szCs w:val="20"/>
          <w:lang w:eastAsia="pt-BR"/>
        </w:rPr>
        <w:t>(...)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pt-BR"/>
        </w:rPr>
      </w:pPr>
      <w:r w:rsidRPr="000B755F">
        <w:rPr>
          <w:rFonts w:asciiTheme="majorHAnsi" w:hAnsiTheme="majorHAnsi" w:cs="Arial"/>
          <w:color w:val="000000"/>
          <w:sz w:val="20"/>
          <w:szCs w:val="20"/>
        </w:rPr>
        <w:t>Art. 87.  Pela inexecução total ou parcial do contrato a Administração poderá, garantida a prévia defesa, aplicar ao contratado as seguintes sanções: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3" w:name="art87i"/>
      <w:bookmarkEnd w:id="3"/>
      <w:r w:rsidRPr="000B755F">
        <w:rPr>
          <w:rFonts w:asciiTheme="majorHAnsi" w:hAnsiTheme="majorHAnsi" w:cs="Arial"/>
          <w:color w:val="000000"/>
          <w:sz w:val="20"/>
          <w:szCs w:val="20"/>
        </w:rPr>
        <w:t>I - advertência;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4" w:name="art87ii"/>
      <w:bookmarkEnd w:id="4"/>
      <w:r w:rsidRPr="000B755F">
        <w:rPr>
          <w:rFonts w:asciiTheme="majorHAnsi" w:hAnsiTheme="majorHAnsi" w:cs="Arial"/>
          <w:color w:val="000000"/>
          <w:sz w:val="20"/>
          <w:szCs w:val="20"/>
        </w:rPr>
        <w:t>II - multa, na forma prevista no instrumento convocatório ou no contrato;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5" w:name="art87iii"/>
      <w:bookmarkEnd w:id="5"/>
      <w:r w:rsidRPr="000B755F">
        <w:rPr>
          <w:rFonts w:asciiTheme="majorHAnsi" w:hAnsiTheme="majorHAnsi" w:cs="Arial"/>
          <w:color w:val="000000"/>
          <w:sz w:val="20"/>
          <w:szCs w:val="20"/>
        </w:rPr>
        <w:t>III - suspensão temporária de participação em licitação e impedimento de contratar com a Administração, por prazo não superior a 2 (dois) anos;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6" w:name="art87iv"/>
      <w:bookmarkEnd w:id="6"/>
      <w:r w:rsidRPr="000B755F">
        <w:rPr>
          <w:rFonts w:asciiTheme="majorHAnsi" w:hAnsiTheme="majorHAnsi" w:cs="Arial"/>
          <w:color w:val="000000"/>
          <w:sz w:val="20"/>
          <w:szCs w:val="20"/>
        </w:rPr>
        <w:t>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7" w:name="art87§1"/>
      <w:bookmarkEnd w:id="7"/>
      <w:r w:rsidRPr="000B755F">
        <w:rPr>
          <w:rFonts w:asciiTheme="majorHAnsi" w:hAnsiTheme="majorHAnsi" w:cs="Arial"/>
          <w:color w:val="000000"/>
          <w:sz w:val="20"/>
          <w:szCs w:val="20"/>
        </w:rPr>
        <w:t>§ 1</w:t>
      </w:r>
      <w:r w:rsidRPr="000B755F">
        <w:rPr>
          <w:rFonts w:asciiTheme="majorHAnsi" w:hAnsiTheme="majorHAnsi" w:cs="Arial"/>
          <w:color w:val="000000"/>
          <w:sz w:val="20"/>
          <w:szCs w:val="20"/>
          <w:u w:val="single"/>
          <w:vertAlign w:val="superscript"/>
        </w:rPr>
        <w:t>o</w:t>
      </w:r>
      <w:r w:rsidRPr="000B755F">
        <w:rPr>
          <w:rFonts w:asciiTheme="majorHAnsi" w:hAnsiTheme="majorHAnsi" w:cs="Arial"/>
          <w:color w:val="000000"/>
          <w:sz w:val="20"/>
          <w:szCs w:val="20"/>
        </w:rPr>
        <w:t>  Se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E44ECD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8" w:name="art87§2"/>
      <w:bookmarkEnd w:id="8"/>
      <w:r w:rsidRPr="000B755F">
        <w:rPr>
          <w:rFonts w:asciiTheme="majorHAnsi" w:hAnsiTheme="majorHAnsi" w:cs="Arial"/>
          <w:color w:val="000000"/>
          <w:sz w:val="20"/>
          <w:szCs w:val="20"/>
        </w:rPr>
        <w:t>§ 2</w:t>
      </w:r>
      <w:r w:rsidRPr="000B755F">
        <w:rPr>
          <w:rFonts w:asciiTheme="majorHAnsi" w:hAnsiTheme="majorHAnsi" w:cs="Arial"/>
          <w:color w:val="000000"/>
          <w:sz w:val="20"/>
          <w:szCs w:val="20"/>
          <w:u w:val="single"/>
          <w:vertAlign w:val="superscript"/>
        </w:rPr>
        <w:t>o</w:t>
      </w:r>
      <w:r w:rsidRPr="000B755F">
        <w:rPr>
          <w:rFonts w:asciiTheme="majorHAnsi" w:hAnsiTheme="majorHAnsi" w:cs="Arial"/>
          <w:color w:val="000000"/>
          <w:sz w:val="20"/>
          <w:szCs w:val="20"/>
        </w:rPr>
        <w:t>  As sanções previstas nos incisos I, III e IV deste artigo poderão ser aplicadas juntamente com a do inciso II, facultada a defesa prévia do interessado, no respectivo processo, no prazo de 5 (cinco) dias úteis.</w:t>
      </w:r>
    </w:p>
    <w:p w:rsidR="00C84B3C" w:rsidRPr="000B755F" w:rsidRDefault="00E44ECD" w:rsidP="00C84B3C">
      <w:pPr>
        <w:pStyle w:val="NormalWeb"/>
        <w:spacing w:before="0" w:after="0" w:line="240" w:lineRule="auto"/>
        <w:ind w:left="2268"/>
        <w:jc w:val="both"/>
        <w:rPr>
          <w:rFonts w:asciiTheme="majorHAnsi" w:hAnsiTheme="majorHAnsi" w:cs="Arial"/>
          <w:color w:val="000000"/>
          <w:sz w:val="20"/>
          <w:szCs w:val="20"/>
        </w:rPr>
      </w:pPr>
      <w:bookmarkStart w:id="9" w:name="art87§3"/>
      <w:bookmarkEnd w:id="9"/>
      <w:r w:rsidRPr="000B755F">
        <w:rPr>
          <w:rFonts w:asciiTheme="majorHAnsi" w:hAnsiTheme="majorHAnsi" w:cs="Arial"/>
          <w:color w:val="000000"/>
          <w:sz w:val="20"/>
          <w:szCs w:val="20"/>
        </w:rPr>
        <w:t>§ 3</w:t>
      </w:r>
      <w:r w:rsidRPr="000B755F">
        <w:rPr>
          <w:rFonts w:asciiTheme="majorHAnsi" w:hAnsiTheme="majorHAnsi" w:cs="Arial"/>
          <w:color w:val="000000"/>
          <w:sz w:val="20"/>
          <w:szCs w:val="20"/>
          <w:u w:val="single"/>
          <w:vertAlign w:val="superscript"/>
        </w:rPr>
        <w:t>o</w:t>
      </w:r>
      <w:r w:rsidRPr="000B755F">
        <w:rPr>
          <w:rFonts w:asciiTheme="majorHAnsi" w:hAnsiTheme="majorHAnsi" w:cs="Arial"/>
          <w:color w:val="000000"/>
          <w:sz w:val="20"/>
          <w:szCs w:val="20"/>
        </w:rPr>
        <w:t>  A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  </w:t>
      </w:r>
    </w:p>
    <w:p w:rsidR="00E44ECD" w:rsidRDefault="00E44ECD" w:rsidP="00194BB0">
      <w:pPr>
        <w:pStyle w:val="NormalWeb"/>
        <w:spacing w:before="0"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194BB0" w:rsidRDefault="00194BB0" w:rsidP="00194BB0">
      <w:pPr>
        <w:pStyle w:val="NormalWeb"/>
        <w:spacing w:before="0"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194BB0" w:rsidRPr="00CF5686" w:rsidRDefault="00194BB0" w:rsidP="00DA411F">
      <w:pPr>
        <w:pStyle w:val="NormalWeb"/>
        <w:spacing w:before="0" w:after="0" w:line="360" w:lineRule="auto"/>
        <w:jc w:val="both"/>
        <w:rPr>
          <w:rFonts w:asciiTheme="majorHAnsi" w:hAnsiTheme="majorHAnsi"/>
          <w:color w:val="000000"/>
          <w:sz w:val="24"/>
        </w:rPr>
      </w:pPr>
      <w:r w:rsidRPr="00CF5686">
        <w:rPr>
          <w:rFonts w:asciiTheme="majorHAnsi" w:hAnsiTheme="majorHAnsi"/>
          <w:color w:val="000000"/>
          <w:sz w:val="24"/>
        </w:rPr>
        <w:t>Estabelece o Contrato Administrativ</w:t>
      </w:r>
      <w:r w:rsidR="00A51C7C">
        <w:rPr>
          <w:rFonts w:asciiTheme="majorHAnsi" w:hAnsiTheme="majorHAnsi"/>
          <w:color w:val="000000"/>
          <w:sz w:val="24"/>
        </w:rPr>
        <w:t>o</w:t>
      </w:r>
      <w:r w:rsidRPr="00CF5686">
        <w:rPr>
          <w:rFonts w:asciiTheme="majorHAnsi" w:hAnsiTheme="majorHAnsi"/>
          <w:color w:val="000000"/>
          <w:sz w:val="24"/>
        </w:rPr>
        <w:t xml:space="preserve"> PMC nº 0128/2017</w:t>
      </w:r>
      <w:r w:rsidR="00CF5686">
        <w:rPr>
          <w:rFonts w:asciiTheme="majorHAnsi" w:hAnsiTheme="majorHAnsi"/>
          <w:color w:val="000000"/>
          <w:sz w:val="24"/>
        </w:rPr>
        <w:t xml:space="preserve"> (Edital Tomada de Preço 0007/2017)</w:t>
      </w:r>
      <w:r w:rsidRPr="00CF5686">
        <w:rPr>
          <w:rFonts w:asciiTheme="majorHAnsi" w:hAnsiTheme="majorHAnsi"/>
          <w:color w:val="000000"/>
          <w:sz w:val="24"/>
        </w:rPr>
        <w:t>:</w:t>
      </w:r>
    </w:p>
    <w:p w:rsidR="00194BB0" w:rsidRDefault="00194BB0" w:rsidP="00194BB0">
      <w:pPr>
        <w:pStyle w:val="NormalWeb"/>
        <w:spacing w:before="0" w:after="0" w:line="240" w:lineRule="auto"/>
        <w:jc w:val="both"/>
        <w:rPr>
          <w:rFonts w:asciiTheme="majorHAnsi" w:hAnsiTheme="majorHAnsi"/>
          <w:color w:val="000000"/>
          <w:sz w:val="27"/>
          <w:szCs w:val="27"/>
        </w:rPr>
      </w:pPr>
    </w:p>
    <w:p w:rsidR="00194BB0" w:rsidRPr="00CF5686" w:rsidRDefault="00194BB0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 xml:space="preserve">8.1. Pelos motivos e condições previstos nos artigos 86 e 87 da Lei nº. 8.666/93, em virtude do descumprimento das obrigações assumidas, garantida a prévia defesa, sem prejuízo das demais cominações aplicáveis, as penalidades em que a CONTRATADA estará sujeita, são as seguintes: </w:t>
      </w:r>
    </w:p>
    <w:p w:rsidR="00194BB0" w:rsidRPr="00CF5686" w:rsidRDefault="00194BB0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>(...)</w:t>
      </w:r>
    </w:p>
    <w:p w:rsidR="00194BB0" w:rsidRPr="00CF5686" w:rsidRDefault="00194BB0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>8.1.4. Multa de 10% (dez por cento) do valor total dos serviços contemplados à CONTRATADA, constantes do Contrato, no caso de rescisão sem justo motivo, nas hipóteses previstas nos incisos I a XI e XVIII do artigo 78, da Lei n. 8.666/1993;</w:t>
      </w:r>
    </w:p>
    <w:p w:rsidR="00194BB0" w:rsidRPr="00CF5686" w:rsidRDefault="00194BB0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>(...)</w:t>
      </w:r>
    </w:p>
    <w:p w:rsidR="00194BB0" w:rsidRPr="00CF5686" w:rsidRDefault="00194BB0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>8.4. A incidência de multa poderá ser acumulada a outras penalidades e sua aplicação não impedirá que a entidade contratante, adote as medidas judiciais cabíveis.</w:t>
      </w:r>
    </w:p>
    <w:p w:rsidR="00CF5686" w:rsidRPr="00CF5686" w:rsidRDefault="00CF5686" w:rsidP="00CF5686">
      <w:pPr>
        <w:pStyle w:val="NormalWeb"/>
        <w:spacing w:before="0" w:after="0" w:line="240" w:lineRule="auto"/>
        <w:ind w:left="2268"/>
        <w:jc w:val="both"/>
        <w:rPr>
          <w:rFonts w:ascii="Cambria" w:hAnsi="Cambria"/>
          <w:color w:val="000000"/>
          <w:sz w:val="20"/>
          <w:szCs w:val="20"/>
        </w:rPr>
      </w:pPr>
      <w:r w:rsidRPr="00CF5686">
        <w:rPr>
          <w:rFonts w:ascii="Cambria" w:hAnsi="Cambria"/>
          <w:sz w:val="20"/>
          <w:szCs w:val="20"/>
        </w:rPr>
        <w:t xml:space="preserve">8.5. As sanções de advertência, suspensão temporária de participar em licitação e impedimento de contratar com o Município e declaração de inidoneidade para licitar ou contratar com a Administração Pública e seus órgãos da administração direta e indireta, poderão ser aplicadas às </w:t>
      </w:r>
      <w:r w:rsidRPr="00CF5686">
        <w:rPr>
          <w:rFonts w:ascii="Cambria" w:hAnsi="Cambria"/>
          <w:sz w:val="20"/>
          <w:szCs w:val="20"/>
        </w:rPr>
        <w:lastRenderedPageBreak/>
        <w:t>empresas licitantes ou contratadas, juntamente com as de multa prevista no contrato.</w:t>
      </w:r>
    </w:p>
    <w:p w:rsidR="00C84B3C" w:rsidRPr="00CF5686" w:rsidRDefault="00C84B3C" w:rsidP="00CF5686">
      <w:pPr>
        <w:widowControl w:val="0"/>
        <w:spacing w:after="0" w:line="240" w:lineRule="auto"/>
        <w:ind w:left="2268"/>
        <w:jc w:val="both"/>
        <w:rPr>
          <w:rFonts w:ascii="Cambria" w:hAnsi="Cambria" w:cs="Arial"/>
          <w:color w:val="FF0000"/>
          <w:sz w:val="20"/>
          <w:szCs w:val="20"/>
          <w:highlight w:val="cyan"/>
        </w:rPr>
      </w:pPr>
    </w:p>
    <w:p w:rsidR="00DA411F" w:rsidRDefault="00C84B3C" w:rsidP="00C84B3C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Ao descumprir as cláusulas contratuais citadas</w:t>
      </w:r>
      <w:r w:rsidR="00CF56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nas linhas acima</w:t>
      </w:r>
      <w:r w:rsidRPr="000B75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, a empresa contratada infringiu o inciso I do art. 78 da Lei nº 8.666/1993, restando justa e definitivamente fundamentada </w:t>
      </w:r>
      <w:r w:rsidR="00CF56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 rescisão contratual efetivada. </w:t>
      </w:r>
    </w:p>
    <w:p w:rsidR="00E44ECD" w:rsidRDefault="00CF5686" w:rsidP="00C84B3C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De outro norte, o descumprimento das obrigações contratuais determina a aplicação cumulativa das penalidades previstas nos incisos II e II</w:t>
      </w:r>
      <w:r w:rsidR="00DA411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I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do art. 87 da lei nº 8.666/1993 e nas cláusulas 8.1.4 e </w:t>
      </w:r>
      <w:r w:rsidR="00E7165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8.5. do contrato administrativo em questão.</w:t>
      </w:r>
    </w:p>
    <w:p w:rsidR="00E71653" w:rsidRDefault="00E71653" w:rsidP="00C84B3C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Isso posto, adoto o relatório da Comissão Processante, que passa a integrar a fundamentação da presente decisão, reconheço a existência de descumprimento contratual e a violação de cláusulas contratuais e acolho a sugestão de penalidade a ser aplicada à empresa contratada.</w:t>
      </w:r>
    </w:p>
    <w:p w:rsidR="00E71653" w:rsidRPr="00DA411F" w:rsidRDefault="00E71653" w:rsidP="00C84B3C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A411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CONCLUSÃO</w:t>
      </w:r>
    </w:p>
    <w:p w:rsidR="00E71653" w:rsidRDefault="00E71653" w:rsidP="00C84B3C">
      <w:pPr>
        <w:suppressAutoHyphens w:val="0"/>
        <w:spacing w:after="24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Diante do exposto e de acordo com as provas produzidas nos autos do processo administrativo</w:t>
      </w:r>
      <w:r w:rsidR="0094464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movido em face da empresa Líder Materiais Elétricos Ltda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acolho o relatório da Comissão Processante para:</w:t>
      </w:r>
    </w:p>
    <w:p w:rsidR="00E71653" w:rsidRDefault="00944642" w:rsidP="00944642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t</w:t>
      </w:r>
      <w:r w:rsidR="00E71653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ornar definitiva a rescisão do contrato administrativo PMC nº 0128/2017</w:t>
      </w:r>
      <w:r w:rsidR="00DA411F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,</w:t>
      </w:r>
      <w:r w:rsidR="00E71653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com fundamento no art. 78, I, da Lei nº 8.666/1993;</w:t>
      </w:r>
    </w:p>
    <w:p w:rsidR="00E71653" w:rsidRPr="00944642" w:rsidRDefault="00944642" w:rsidP="00944642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a</w:t>
      </w:r>
      <w:r w:rsidR="00E71653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plicar à empresa </w:t>
      </w:r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processada multa de 10% (dez por cento) do valor total dos serviços previstos no contrato administrativo, que equivale à R$ </w:t>
      </w:r>
      <w:r w:rsidRPr="00944642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16.125,00</w:t>
      </w:r>
      <w:r w:rsidR="00E71653" w:rsidRPr="00944642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</w:t>
      </w:r>
      <w:r w:rsidRPr="00944642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(dezesseis mil, cento e vinte e cinco reais);</w:t>
      </w:r>
    </w:p>
    <w:p w:rsidR="00944642" w:rsidRPr="009940CE" w:rsidRDefault="00944642" w:rsidP="00944642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944642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aplicar </w:t>
      </w:r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à empresa processada </w:t>
      </w:r>
      <w:r w:rsidRPr="00944642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a pena de suspensão </w:t>
      </w:r>
      <w:r w:rsidRPr="00944642">
        <w:rPr>
          <w:rFonts w:asciiTheme="majorHAnsi" w:hAnsiTheme="majorHAnsi" w:cs="Arial"/>
          <w:color w:val="000000"/>
          <w:sz w:val="24"/>
          <w:szCs w:val="24"/>
        </w:rPr>
        <w:t>de participação em licitação e impedimento de contratar com a Administração pelo prazo de</w:t>
      </w:r>
      <w:r w:rsidR="009940CE">
        <w:rPr>
          <w:rFonts w:asciiTheme="majorHAnsi" w:hAnsiTheme="majorHAnsi" w:cs="Arial"/>
          <w:color w:val="000000"/>
          <w:sz w:val="24"/>
          <w:szCs w:val="24"/>
        </w:rPr>
        <w:t xml:space="preserve"> 2 (dois) anos.</w:t>
      </w:r>
    </w:p>
    <w:p w:rsidR="00944642" w:rsidRDefault="00944642" w:rsidP="00944642">
      <w:pPr>
        <w:spacing w:after="24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Intime-se a empresa processada.</w:t>
      </w:r>
    </w:p>
    <w:p w:rsidR="00944642" w:rsidRDefault="00944642" w:rsidP="00944642">
      <w:pPr>
        <w:spacing w:after="24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Publique-se a presente decisão no DOM e no site do Município</w:t>
      </w:r>
      <w:r w:rsidR="009940CE">
        <w:rPr>
          <w:rFonts w:asciiTheme="majorHAnsi" w:hAnsiTheme="majorHAnsi"/>
          <w:color w:val="000000"/>
          <w:sz w:val="24"/>
          <w:szCs w:val="24"/>
        </w:rPr>
        <w:t>, nos moldes do art. 24 do Decreto nº 2.365/2018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DA411F" w:rsidRDefault="00944642" w:rsidP="00944642">
      <w:pPr>
        <w:spacing w:after="24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Comunique-se </w:t>
      </w:r>
      <w:r w:rsidR="009940CE">
        <w:rPr>
          <w:rFonts w:asciiTheme="majorHAnsi" w:hAnsiTheme="majorHAnsi"/>
          <w:color w:val="000000"/>
          <w:sz w:val="24"/>
          <w:szCs w:val="24"/>
        </w:rPr>
        <w:t>o Controle Interno para os fins do art. 30 do Decreto nº 2.365/2018.</w:t>
      </w:r>
    </w:p>
    <w:p w:rsidR="00944642" w:rsidRDefault="00DA411F" w:rsidP="00944642">
      <w:pPr>
        <w:spacing w:after="24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 xml:space="preserve">Transitada em julgado a presente decisão, comunique-se a </w:t>
      </w:r>
      <w:r w:rsidRPr="00DA2C4C">
        <w:rPr>
          <w:rFonts w:asciiTheme="majorHAnsi" w:hAnsiTheme="majorHAnsi" w:cs="Times New Roman"/>
          <w:sz w:val="24"/>
          <w:szCs w:val="24"/>
        </w:rPr>
        <w:t>Secretaria Municipal de Administração e Finanças</w:t>
      </w:r>
      <w:r>
        <w:rPr>
          <w:rFonts w:asciiTheme="majorHAnsi" w:hAnsiTheme="majorHAnsi"/>
          <w:color w:val="000000"/>
          <w:sz w:val="24"/>
          <w:szCs w:val="24"/>
        </w:rPr>
        <w:t xml:space="preserve"> para que tome as providências necessárias para cobrança da multa aplicada.</w:t>
      </w:r>
    </w:p>
    <w:p w:rsidR="004E1EC8" w:rsidRPr="000B755F" w:rsidRDefault="004E1EC8" w:rsidP="002778C2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B755F">
        <w:rPr>
          <w:rFonts w:asciiTheme="majorHAnsi" w:hAnsiTheme="majorHAnsi" w:cs="Arial"/>
          <w:sz w:val="24"/>
          <w:szCs w:val="24"/>
        </w:rPr>
        <w:t>Catanduvas – SC,</w:t>
      </w:r>
      <w:r w:rsidRPr="000B755F">
        <w:rPr>
          <w:rFonts w:asciiTheme="majorHAnsi" w:eastAsia="Myriad Pro" w:hAnsiTheme="majorHAnsi" w:cs="Arial"/>
          <w:sz w:val="24"/>
          <w:szCs w:val="24"/>
        </w:rPr>
        <w:t xml:space="preserve"> </w:t>
      </w:r>
      <w:r w:rsidR="009940CE">
        <w:rPr>
          <w:rFonts w:asciiTheme="majorHAnsi" w:hAnsiTheme="majorHAnsi" w:cs="Arial"/>
          <w:sz w:val="24"/>
          <w:szCs w:val="24"/>
        </w:rPr>
        <w:t>24 de setembro de 2018.</w:t>
      </w:r>
    </w:p>
    <w:p w:rsidR="001D1B1E" w:rsidRDefault="001D1B1E" w:rsidP="002778C2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1B1E" w:rsidRPr="000B755F" w:rsidRDefault="009940CE" w:rsidP="001D1B1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PEDRO ALBINO SCAPINI</w:t>
      </w:r>
    </w:p>
    <w:p w:rsidR="001D1B1E" w:rsidRPr="00DA411F" w:rsidRDefault="009940CE" w:rsidP="001D1B1E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DA411F">
        <w:rPr>
          <w:rFonts w:asciiTheme="majorHAnsi" w:hAnsiTheme="majorHAnsi" w:cs="Arial"/>
          <w:sz w:val="24"/>
          <w:szCs w:val="24"/>
        </w:rPr>
        <w:t>Secretário Municipal de Infraestrutura</w:t>
      </w:r>
    </w:p>
    <w:sectPr w:rsidR="001D1B1E" w:rsidRPr="00DA411F" w:rsidSect="0015446F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47" w:rsidRDefault="00540547">
      <w:pPr>
        <w:spacing w:after="0" w:line="240" w:lineRule="auto"/>
      </w:pPr>
      <w:r>
        <w:separator/>
      </w:r>
    </w:p>
  </w:endnote>
  <w:endnote w:type="continuationSeparator" w:id="0">
    <w:p w:rsidR="00540547" w:rsidRDefault="005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80"/>
    <w:family w:val="auto"/>
    <w:pitch w:val="variable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  <w:font w:name="Myriad Pro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47" w:rsidRDefault="00540547">
      <w:pPr>
        <w:spacing w:after="0" w:line="240" w:lineRule="auto"/>
      </w:pPr>
      <w:r>
        <w:separator/>
      </w:r>
    </w:p>
  </w:footnote>
  <w:footnote w:type="continuationSeparator" w:id="0">
    <w:p w:rsidR="00540547" w:rsidRDefault="0054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A4988"/>
    <w:multiLevelType w:val="hybridMultilevel"/>
    <w:tmpl w:val="ED52EDA4"/>
    <w:lvl w:ilvl="0" w:tplc="E3689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F63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315A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75A"/>
    <w:multiLevelType w:val="hybridMultilevel"/>
    <w:tmpl w:val="1172C0A0"/>
    <w:lvl w:ilvl="0" w:tplc="A01A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32777"/>
    <w:multiLevelType w:val="hybridMultilevel"/>
    <w:tmpl w:val="C0203FD4"/>
    <w:lvl w:ilvl="0" w:tplc="5FF832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906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475D"/>
    <w:multiLevelType w:val="hybridMultilevel"/>
    <w:tmpl w:val="CC98708E"/>
    <w:lvl w:ilvl="0" w:tplc="0416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8AC6E8D"/>
    <w:multiLevelType w:val="hybridMultilevel"/>
    <w:tmpl w:val="7652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A"/>
    <w:rsid w:val="00014BC0"/>
    <w:rsid w:val="0001635C"/>
    <w:rsid w:val="00033B08"/>
    <w:rsid w:val="00044689"/>
    <w:rsid w:val="0008439A"/>
    <w:rsid w:val="000A5460"/>
    <w:rsid w:val="000B755F"/>
    <w:rsid w:val="000E7F24"/>
    <w:rsid w:val="00106233"/>
    <w:rsid w:val="001107E4"/>
    <w:rsid w:val="00114FB4"/>
    <w:rsid w:val="00117538"/>
    <w:rsid w:val="0015446F"/>
    <w:rsid w:val="00161B37"/>
    <w:rsid w:val="00194BB0"/>
    <w:rsid w:val="001C04D2"/>
    <w:rsid w:val="001D1B1E"/>
    <w:rsid w:val="001D7027"/>
    <w:rsid w:val="001F20AB"/>
    <w:rsid w:val="001F7224"/>
    <w:rsid w:val="002078AD"/>
    <w:rsid w:val="00230BC2"/>
    <w:rsid w:val="002339EB"/>
    <w:rsid w:val="00257150"/>
    <w:rsid w:val="00264CFE"/>
    <w:rsid w:val="00271BFB"/>
    <w:rsid w:val="00272864"/>
    <w:rsid w:val="002778C2"/>
    <w:rsid w:val="0028739C"/>
    <w:rsid w:val="002A092F"/>
    <w:rsid w:val="002F02D0"/>
    <w:rsid w:val="003105AE"/>
    <w:rsid w:val="00351B4D"/>
    <w:rsid w:val="003663D1"/>
    <w:rsid w:val="00375A7E"/>
    <w:rsid w:val="00382AA4"/>
    <w:rsid w:val="003860B1"/>
    <w:rsid w:val="00397AE0"/>
    <w:rsid w:val="003B6534"/>
    <w:rsid w:val="00405B3A"/>
    <w:rsid w:val="004166BE"/>
    <w:rsid w:val="00431329"/>
    <w:rsid w:val="00453B9C"/>
    <w:rsid w:val="00461C41"/>
    <w:rsid w:val="0047190A"/>
    <w:rsid w:val="0048338C"/>
    <w:rsid w:val="004972EA"/>
    <w:rsid w:val="004E1EC8"/>
    <w:rsid w:val="00501487"/>
    <w:rsid w:val="00505545"/>
    <w:rsid w:val="00510D33"/>
    <w:rsid w:val="0053700A"/>
    <w:rsid w:val="00540547"/>
    <w:rsid w:val="00584D5F"/>
    <w:rsid w:val="00615CD7"/>
    <w:rsid w:val="0061633C"/>
    <w:rsid w:val="006512CF"/>
    <w:rsid w:val="0066655A"/>
    <w:rsid w:val="00672AAF"/>
    <w:rsid w:val="00681D25"/>
    <w:rsid w:val="0069325E"/>
    <w:rsid w:val="006C5043"/>
    <w:rsid w:val="006C76B5"/>
    <w:rsid w:val="006C7B21"/>
    <w:rsid w:val="006E0E43"/>
    <w:rsid w:val="006E556C"/>
    <w:rsid w:val="0070130A"/>
    <w:rsid w:val="00714488"/>
    <w:rsid w:val="0077145A"/>
    <w:rsid w:val="00797825"/>
    <w:rsid w:val="007D36D5"/>
    <w:rsid w:val="007E78F1"/>
    <w:rsid w:val="007F7318"/>
    <w:rsid w:val="00807434"/>
    <w:rsid w:val="00834850"/>
    <w:rsid w:val="00850F12"/>
    <w:rsid w:val="00863FC8"/>
    <w:rsid w:val="008851E8"/>
    <w:rsid w:val="00885505"/>
    <w:rsid w:val="008C32D2"/>
    <w:rsid w:val="008E5D87"/>
    <w:rsid w:val="008F5872"/>
    <w:rsid w:val="008F5ABA"/>
    <w:rsid w:val="00906BBA"/>
    <w:rsid w:val="00935B46"/>
    <w:rsid w:val="00937ACE"/>
    <w:rsid w:val="0094002D"/>
    <w:rsid w:val="00944642"/>
    <w:rsid w:val="009652BB"/>
    <w:rsid w:val="00974234"/>
    <w:rsid w:val="00991429"/>
    <w:rsid w:val="009940CE"/>
    <w:rsid w:val="009B29ED"/>
    <w:rsid w:val="009C384A"/>
    <w:rsid w:val="009D12DE"/>
    <w:rsid w:val="009D47CE"/>
    <w:rsid w:val="00A11ED4"/>
    <w:rsid w:val="00A46FE7"/>
    <w:rsid w:val="00A51C7C"/>
    <w:rsid w:val="00A54953"/>
    <w:rsid w:val="00A7119D"/>
    <w:rsid w:val="00A74334"/>
    <w:rsid w:val="00AA01D8"/>
    <w:rsid w:val="00AB7213"/>
    <w:rsid w:val="00AD1233"/>
    <w:rsid w:val="00AE57B4"/>
    <w:rsid w:val="00AF3BDA"/>
    <w:rsid w:val="00B10259"/>
    <w:rsid w:val="00B2231F"/>
    <w:rsid w:val="00B32564"/>
    <w:rsid w:val="00B37AA5"/>
    <w:rsid w:val="00B37BF4"/>
    <w:rsid w:val="00B41939"/>
    <w:rsid w:val="00B576C8"/>
    <w:rsid w:val="00B67DCF"/>
    <w:rsid w:val="00B72269"/>
    <w:rsid w:val="00B730FA"/>
    <w:rsid w:val="00B836B0"/>
    <w:rsid w:val="00B86890"/>
    <w:rsid w:val="00BB0BE6"/>
    <w:rsid w:val="00BB655A"/>
    <w:rsid w:val="00BF2F3A"/>
    <w:rsid w:val="00C05761"/>
    <w:rsid w:val="00C0787F"/>
    <w:rsid w:val="00C11C4B"/>
    <w:rsid w:val="00C30DA3"/>
    <w:rsid w:val="00C310DF"/>
    <w:rsid w:val="00C44749"/>
    <w:rsid w:val="00C45FB1"/>
    <w:rsid w:val="00C70CFF"/>
    <w:rsid w:val="00C84302"/>
    <w:rsid w:val="00C848C9"/>
    <w:rsid w:val="00C84B3C"/>
    <w:rsid w:val="00CA383F"/>
    <w:rsid w:val="00CA4E8A"/>
    <w:rsid w:val="00CB6303"/>
    <w:rsid w:val="00CC4C8A"/>
    <w:rsid w:val="00CF5686"/>
    <w:rsid w:val="00D1169C"/>
    <w:rsid w:val="00D36C76"/>
    <w:rsid w:val="00D46B39"/>
    <w:rsid w:val="00D64882"/>
    <w:rsid w:val="00D66688"/>
    <w:rsid w:val="00D70A00"/>
    <w:rsid w:val="00D7446A"/>
    <w:rsid w:val="00D74B53"/>
    <w:rsid w:val="00D87049"/>
    <w:rsid w:val="00DA2219"/>
    <w:rsid w:val="00DA411F"/>
    <w:rsid w:val="00DC1C97"/>
    <w:rsid w:val="00DC4AF2"/>
    <w:rsid w:val="00DE585A"/>
    <w:rsid w:val="00E0361B"/>
    <w:rsid w:val="00E20044"/>
    <w:rsid w:val="00E233DB"/>
    <w:rsid w:val="00E23524"/>
    <w:rsid w:val="00E325A1"/>
    <w:rsid w:val="00E44ECD"/>
    <w:rsid w:val="00E55ACA"/>
    <w:rsid w:val="00E62F4D"/>
    <w:rsid w:val="00E71653"/>
    <w:rsid w:val="00E754B7"/>
    <w:rsid w:val="00E772D4"/>
    <w:rsid w:val="00E808AB"/>
    <w:rsid w:val="00E864BD"/>
    <w:rsid w:val="00EA0562"/>
    <w:rsid w:val="00EC35AA"/>
    <w:rsid w:val="00ED07E0"/>
    <w:rsid w:val="00EE45F4"/>
    <w:rsid w:val="00EF60F8"/>
    <w:rsid w:val="00F060D1"/>
    <w:rsid w:val="00F24A2D"/>
    <w:rsid w:val="00F25248"/>
    <w:rsid w:val="00F3573A"/>
    <w:rsid w:val="00F367D0"/>
    <w:rsid w:val="00F702B4"/>
    <w:rsid w:val="00F84948"/>
    <w:rsid w:val="00F90D87"/>
    <w:rsid w:val="00F96F72"/>
    <w:rsid w:val="00FA42E0"/>
    <w:rsid w:val="00FA5BCE"/>
    <w:rsid w:val="00FA762E"/>
    <w:rsid w:val="00FB29CC"/>
    <w:rsid w:val="00FD2991"/>
    <w:rsid w:val="00FE64D2"/>
    <w:rsid w:val="00FE7F7E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DDA7894-81D4-422A-82EB-984AC79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F20A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15446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446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5446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15446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qFormat/>
    <w:rsid w:val="0015446F"/>
    <w:pPr>
      <w:keepNext/>
      <w:numPr>
        <w:ilvl w:val="7"/>
        <w:numId w:val="1"/>
      </w:numPr>
      <w:ind w:left="2832" w:firstLine="0"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46F"/>
  </w:style>
  <w:style w:type="character" w:customStyle="1" w:styleId="WW-Absatz-Standardschriftart">
    <w:name w:val="WW-Absatz-Standardschriftart"/>
    <w:rsid w:val="0015446F"/>
  </w:style>
  <w:style w:type="character" w:customStyle="1" w:styleId="WW-Absatz-Standardschriftart1">
    <w:name w:val="WW-Absatz-Standardschriftart1"/>
    <w:rsid w:val="0015446F"/>
  </w:style>
  <w:style w:type="character" w:customStyle="1" w:styleId="WW-Absatz-Standardschriftart11">
    <w:name w:val="WW-Absatz-Standardschriftart11"/>
    <w:rsid w:val="0015446F"/>
  </w:style>
  <w:style w:type="character" w:customStyle="1" w:styleId="WW-Absatz-Standardschriftart111">
    <w:name w:val="WW-Absatz-Standardschriftart111"/>
    <w:rsid w:val="0015446F"/>
  </w:style>
  <w:style w:type="character" w:customStyle="1" w:styleId="WW-Absatz-Standardschriftart1111">
    <w:name w:val="WW-Absatz-Standardschriftart1111"/>
    <w:rsid w:val="0015446F"/>
  </w:style>
  <w:style w:type="character" w:customStyle="1" w:styleId="WW-Absatz-Standardschriftart11111">
    <w:name w:val="WW-Absatz-Standardschriftart11111"/>
    <w:rsid w:val="0015446F"/>
  </w:style>
  <w:style w:type="character" w:customStyle="1" w:styleId="WW-Absatz-Standardschriftart111111">
    <w:name w:val="WW-Absatz-Standardschriftart111111"/>
    <w:rsid w:val="0015446F"/>
  </w:style>
  <w:style w:type="character" w:customStyle="1" w:styleId="WW-Absatz-Standardschriftart1111111">
    <w:name w:val="WW-Absatz-Standardschriftart1111111"/>
    <w:rsid w:val="0015446F"/>
  </w:style>
  <w:style w:type="character" w:customStyle="1" w:styleId="WW-Absatz-Standardschriftart11111111">
    <w:name w:val="WW-Absatz-Standardschriftart11111111"/>
    <w:rsid w:val="0015446F"/>
  </w:style>
  <w:style w:type="character" w:customStyle="1" w:styleId="WW-Absatz-Standardschriftart111111111">
    <w:name w:val="WW-Absatz-Standardschriftart111111111"/>
    <w:rsid w:val="0015446F"/>
  </w:style>
  <w:style w:type="character" w:customStyle="1" w:styleId="WW-Absatz-Standardschriftart1111111111">
    <w:name w:val="WW-Absatz-Standardschriftart1111111111"/>
    <w:rsid w:val="0015446F"/>
  </w:style>
  <w:style w:type="character" w:customStyle="1" w:styleId="WW-Absatz-Standardschriftart11111111111">
    <w:name w:val="WW-Absatz-Standardschriftart11111111111"/>
    <w:rsid w:val="0015446F"/>
  </w:style>
  <w:style w:type="character" w:customStyle="1" w:styleId="Fontepargpadro7">
    <w:name w:val="Fonte parág. padrão7"/>
    <w:rsid w:val="0015446F"/>
  </w:style>
  <w:style w:type="character" w:customStyle="1" w:styleId="WW-Absatz-Standardschriftart111111111111">
    <w:name w:val="WW-Absatz-Standardschriftart111111111111"/>
    <w:rsid w:val="0015446F"/>
  </w:style>
  <w:style w:type="character" w:customStyle="1" w:styleId="WW-Absatz-Standardschriftart1111111111111">
    <w:name w:val="WW-Absatz-Standardschriftart1111111111111"/>
    <w:rsid w:val="0015446F"/>
  </w:style>
  <w:style w:type="character" w:customStyle="1" w:styleId="WW-Absatz-Standardschriftart11111111111111">
    <w:name w:val="WW-Absatz-Standardschriftart11111111111111"/>
    <w:rsid w:val="0015446F"/>
  </w:style>
  <w:style w:type="character" w:customStyle="1" w:styleId="WW-Absatz-Standardschriftart111111111111111">
    <w:name w:val="WW-Absatz-Standardschriftart111111111111111"/>
    <w:rsid w:val="0015446F"/>
  </w:style>
  <w:style w:type="character" w:customStyle="1" w:styleId="WW-Absatz-Standardschriftart1111111111111111">
    <w:name w:val="WW-Absatz-Standardschriftart1111111111111111"/>
    <w:rsid w:val="0015446F"/>
  </w:style>
  <w:style w:type="character" w:customStyle="1" w:styleId="WW-Absatz-Standardschriftart11111111111111111">
    <w:name w:val="WW-Absatz-Standardschriftart11111111111111111"/>
    <w:rsid w:val="0015446F"/>
  </w:style>
  <w:style w:type="character" w:customStyle="1" w:styleId="WW-Absatz-Standardschriftart111111111111111111">
    <w:name w:val="WW-Absatz-Standardschriftart111111111111111111"/>
    <w:rsid w:val="0015446F"/>
  </w:style>
  <w:style w:type="character" w:customStyle="1" w:styleId="WW-Absatz-Standardschriftart1111111111111111111">
    <w:name w:val="WW-Absatz-Standardschriftart1111111111111111111"/>
    <w:rsid w:val="0015446F"/>
  </w:style>
  <w:style w:type="character" w:customStyle="1" w:styleId="WW-Absatz-Standardschriftart11111111111111111111">
    <w:name w:val="WW-Absatz-Standardschriftart11111111111111111111"/>
    <w:rsid w:val="0015446F"/>
  </w:style>
  <w:style w:type="character" w:customStyle="1" w:styleId="WW-Absatz-Standardschriftart111111111111111111111">
    <w:name w:val="WW-Absatz-Standardschriftart111111111111111111111"/>
    <w:rsid w:val="0015446F"/>
  </w:style>
  <w:style w:type="character" w:customStyle="1" w:styleId="WW-Absatz-Standardschriftart1111111111111111111111">
    <w:name w:val="WW-Absatz-Standardschriftart1111111111111111111111"/>
    <w:rsid w:val="0015446F"/>
  </w:style>
  <w:style w:type="character" w:customStyle="1" w:styleId="Fontepargpadro6">
    <w:name w:val="Fonte parág. padrão6"/>
    <w:rsid w:val="0015446F"/>
  </w:style>
  <w:style w:type="character" w:customStyle="1" w:styleId="WW-Absatz-Standardschriftart11111111111111111111111">
    <w:name w:val="WW-Absatz-Standardschriftart11111111111111111111111"/>
    <w:rsid w:val="0015446F"/>
  </w:style>
  <w:style w:type="character" w:customStyle="1" w:styleId="WW-Absatz-Standardschriftart111111111111111111111111">
    <w:name w:val="WW-Absatz-Standardschriftart111111111111111111111111"/>
    <w:rsid w:val="0015446F"/>
  </w:style>
  <w:style w:type="character" w:customStyle="1" w:styleId="WW-Absatz-Standardschriftart1111111111111111111111111">
    <w:name w:val="WW-Absatz-Standardschriftart1111111111111111111111111"/>
    <w:rsid w:val="0015446F"/>
  </w:style>
  <w:style w:type="character" w:customStyle="1" w:styleId="WW-Absatz-Standardschriftart11111111111111111111111111">
    <w:name w:val="WW-Absatz-Standardschriftart11111111111111111111111111"/>
    <w:rsid w:val="0015446F"/>
  </w:style>
  <w:style w:type="character" w:customStyle="1" w:styleId="WW-Absatz-Standardschriftart111111111111111111111111111">
    <w:name w:val="WW-Absatz-Standardschriftart111111111111111111111111111"/>
    <w:rsid w:val="0015446F"/>
  </w:style>
  <w:style w:type="character" w:customStyle="1" w:styleId="WW-Absatz-Standardschriftart1111111111111111111111111111">
    <w:name w:val="WW-Absatz-Standardschriftart1111111111111111111111111111"/>
    <w:rsid w:val="0015446F"/>
  </w:style>
  <w:style w:type="character" w:customStyle="1" w:styleId="WW-Absatz-Standardschriftart11111111111111111111111111111">
    <w:name w:val="WW-Absatz-Standardschriftart11111111111111111111111111111"/>
    <w:rsid w:val="0015446F"/>
  </w:style>
  <w:style w:type="character" w:customStyle="1" w:styleId="WW-Absatz-Standardschriftart111111111111111111111111111111">
    <w:name w:val="WW-Absatz-Standardschriftart111111111111111111111111111111"/>
    <w:rsid w:val="0015446F"/>
  </w:style>
  <w:style w:type="character" w:customStyle="1" w:styleId="WW-Absatz-Standardschriftart1111111111111111111111111111111">
    <w:name w:val="WW-Absatz-Standardschriftart1111111111111111111111111111111"/>
    <w:rsid w:val="0015446F"/>
  </w:style>
  <w:style w:type="character" w:customStyle="1" w:styleId="WW-Absatz-Standardschriftart11111111111111111111111111111111">
    <w:name w:val="WW-Absatz-Standardschriftart11111111111111111111111111111111"/>
    <w:rsid w:val="0015446F"/>
  </w:style>
  <w:style w:type="character" w:customStyle="1" w:styleId="WW-Absatz-Standardschriftart111111111111111111111111111111111">
    <w:name w:val="WW-Absatz-Standardschriftart111111111111111111111111111111111"/>
    <w:rsid w:val="0015446F"/>
  </w:style>
  <w:style w:type="character" w:customStyle="1" w:styleId="WW-Absatz-Standardschriftart1111111111111111111111111111111111">
    <w:name w:val="WW-Absatz-Standardschriftart1111111111111111111111111111111111"/>
    <w:rsid w:val="0015446F"/>
  </w:style>
  <w:style w:type="character" w:customStyle="1" w:styleId="WW-Absatz-Standardschriftart11111111111111111111111111111111111">
    <w:name w:val="WW-Absatz-Standardschriftart11111111111111111111111111111111111"/>
    <w:rsid w:val="0015446F"/>
  </w:style>
  <w:style w:type="character" w:customStyle="1" w:styleId="WW-Absatz-Standardschriftart111111111111111111111111111111111111">
    <w:name w:val="WW-Absatz-Standardschriftart111111111111111111111111111111111111"/>
    <w:rsid w:val="0015446F"/>
  </w:style>
  <w:style w:type="character" w:customStyle="1" w:styleId="WW-Absatz-Standardschriftart1111111111111111111111111111111111111">
    <w:name w:val="WW-Absatz-Standardschriftart1111111111111111111111111111111111111"/>
    <w:rsid w:val="0015446F"/>
  </w:style>
  <w:style w:type="character" w:customStyle="1" w:styleId="WW-Absatz-Standardschriftart11111111111111111111111111111111111111">
    <w:name w:val="WW-Absatz-Standardschriftart11111111111111111111111111111111111111"/>
    <w:rsid w:val="0015446F"/>
  </w:style>
  <w:style w:type="character" w:customStyle="1" w:styleId="WW-Absatz-Standardschriftart111111111111111111111111111111111111111">
    <w:name w:val="WW-Absatz-Standardschriftart111111111111111111111111111111111111111"/>
    <w:rsid w:val="0015446F"/>
  </w:style>
  <w:style w:type="character" w:customStyle="1" w:styleId="Fontepargpadro5">
    <w:name w:val="Fonte parág. padrão5"/>
    <w:rsid w:val="0015446F"/>
  </w:style>
  <w:style w:type="character" w:customStyle="1" w:styleId="WW-Absatz-Standardschriftart1111111111111111111111111111111111111111">
    <w:name w:val="WW-Absatz-Standardschriftart1111111111111111111111111111111111111111"/>
    <w:rsid w:val="0015446F"/>
  </w:style>
  <w:style w:type="character" w:customStyle="1" w:styleId="WW-Absatz-Standardschriftart11111111111111111111111111111111111111111">
    <w:name w:val="WW-Absatz-Standardschriftart11111111111111111111111111111111111111111"/>
    <w:rsid w:val="0015446F"/>
  </w:style>
  <w:style w:type="character" w:customStyle="1" w:styleId="WW-Absatz-Standardschriftart111111111111111111111111111111111111111111">
    <w:name w:val="WW-Absatz-Standardschriftart111111111111111111111111111111111111111111"/>
    <w:rsid w:val="0015446F"/>
  </w:style>
  <w:style w:type="character" w:customStyle="1" w:styleId="WW-Absatz-Standardschriftart1111111111111111111111111111111111111111111">
    <w:name w:val="WW-Absatz-Standardschriftart1111111111111111111111111111111111111111111"/>
    <w:rsid w:val="0015446F"/>
  </w:style>
  <w:style w:type="character" w:customStyle="1" w:styleId="WW-Absatz-Standardschriftart11111111111111111111111111111111111111111111">
    <w:name w:val="WW-Absatz-Standardschriftart11111111111111111111111111111111111111111111"/>
    <w:rsid w:val="0015446F"/>
  </w:style>
  <w:style w:type="character" w:customStyle="1" w:styleId="Fontepargpadro4">
    <w:name w:val="Fonte parág. padrão4"/>
    <w:rsid w:val="0015446F"/>
  </w:style>
  <w:style w:type="character" w:customStyle="1" w:styleId="WW-Absatz-Standardschriftart111111111111111111111111111111111111111111111">
    <w:name w:val="WW-Absatz-Standardschriftart111111111111111111111111111111111111111111111"/>
    <w:rsid w:val="0015446F"/>
  </w:style>
  <w:style w:type="character" w:customStyle="1" w:styleId="WW-Absatz-Standardschriftart1111111111111111111111111111111111111111111111">
    <w:name w:val="WW-Absatz-Standardschriftart1111111111111111111111111111111111111111111111"/>
    <w:rsid w:val="0015446F"/>
  </w:style>
  <w:style w:type="character" w:customStyle="1" w:styleId="WW-Absatz-Standardschriftart11111111111111111111111111111111111111111111111">
    <w:name w:val="WW-Absatz-Standardschriftart11111111111111111111111111111111111111111111111"/>
    <w:rsid w:val="0015446F"/>
  </w:style>
  <w:style w:type="character" w:customStyle="1" w:styleId="WW-Absatz-Standardschriftart111111111111111111111111111111111111111111111111">
    <w:name w:val="WW-Absatz-Standardschriftart111111111111111111111111111111111111111111111111"/>
    <w:rsid w:val="00154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15446F"/>
  </w:style>
  <w:style w:type="character" w:customStyle="1" w:styleId="WW8Num1z0">
    <w:name w:val="WW8Num1z0"/>
    <w:rsid w:val="0015446F"/>
    <w:rPr>
      <w:rFonts w:ascii="Symbol" w:hAnsi="Symbol" w:cs="OpenSymbol"/>
    </w:rPr>
  </w:style>
  <w:style w:type="character" w:customStyle="1" w:styleId="WW8Num1z1">
    <w:name w:val="WW8Num1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446F"/>
  </w:style>
  <w:style w:type="character" w:customStyle="1" w:styleId="WW8Num3z0">
    <w:name w:val="WW8Num3z0"/>
    <w:rsid w:val="0015446F"/>
    <w:rPr>
      <w:rFonts w:ascii="Symbol" w:hAnsi="Symbol" w:cs="OpenSymbol"/>
    </w:rPr>
  </w:style>
  <w:style w:type="character" w:customStyle="1" w:styleId="WW8Num3z1">
    <w:name w:val="WW8Num3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4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4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4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4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4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4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446F"/>
  </w:style>
  <w:style w:type="character" w:customStyle="1" w:styleId="Fontepargpadro3">
    <w:name w:val="Fonte parág. padrão3"/>
    <w:rsid w:val="0015446F"/>
  </w:style>
  <w:style w:type="character" w:customStyle="1" w:styleId="Fontepargpadro2">
    <w:name w:val="Fonte parág. padrão2"/>
    <w:rsid w:val="0015446F"/>
  </w:style>
  <w:style w:type="character" w:customStyle="1" w:styleId="Fontepargpadro1">
    <w:name w:val="Fonte parág. padrão1"/>
    <w:rsid w:val="0015446F"/>
  </w:style>
  <w:style w:type="character" w:customStyle="1" w:styleId="CabealhoChar">
    <w:name w:val="Cabeçalho Char"/>
    <w:basedOn w:val="Fontepargpadro1"/>
    <w:rsid w:val="0015446F"/>
  </w:style>
  <w:style w:type="character" w:customStyle="1" w:styleId="RodapChar">
    <w:name w:val="Rodapé Char"/>
    <w:basedOn w:val="Fontepargpadro1"/>
    <w:uiPriority w:val="99"/>
    <w:rsid w:val="0015446F"/>
  </w:style>
  <w:style w:type="character" w:customStyle="1" w:styleId="TextodebaloChar">
    <w:name w:val="Texto de balão Char"/>
    <w:rsid w:val="0015446F"/>
    <w:rPr>
      <w:rFonts w:ascii="Tahoma" w:hAnsi="Tahoma" w:cs="Tahoma"/>
      <w:sz w:val="16"/>
      <w:szCs w:val="16"/>
    </w:rPr>
  </w:style>
  <w:style w:type="character" w:styleId="Hyperlink">
    <w:name w:val="Hyperlink"/>
    <w:rsid w:val="0015446F"/>
    <w:rPr>
      <w:color w:val="0000FF"/>
      <w:u w:val="single"/>
    </w:rPr>
  </w:style>
  <w:style w:type="character" w:styleId="TextodoEspaoReservado">
    <w:name w:val="Placeholder Text"/>
    <w:rsid w:val="0015446F"/>
    <w:rPr>
      <w:color w:val="808080"/>
    </w:rPr>
  </w:style>
  <w:style w:type="character" w:customStyle="1" w:styleId="Marcas">
    <w:name w:val="Marcas"/>
    <w:rsid w:val="0015446F"/>
    <w:rPr>
      <w:rFonts w:ascii="OpenSymbol" w:eastAsia="OpenSymbol" w:hAnsi="OpenSymbol" w:cs="OpenSymbol"/>
    </w:rPr>
  </w:style>
  <w:style w:type="character" w:customStyle="1" w:styleId="Ttulo2Char">
    <w:name w:val="Título 2 Char"/>
    <w:rsid w:val="001544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sid w:val="0015446F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rsid w:val="001544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rsid w:val="0015446F"/>
    <w:rPr>
      <w:rFonts w:ascii="Calibri" w:hAnsi="Calibri" w:cs="Calibri"/>
      <w:sz w:val="22"/>
      <w:szCs w:val="22"/>
    </w:rPr>
  </w:style>
  <w:style w:type="character" w:customStyle="1" w:styleId="Smbolosdenumerao">
    <w:name w:val="Símbolos de numeração"/>
    <w:rsid w:val="0015446F"/>
  </w:style>
  <w:style w:type="paragraph" w:customStyle="1" w:styleId="Ttulo70">
    <w:name w:val="Título7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rsid w:val="0015446F"/>
    <w:pPr>
      <w:spacing w:after="120"/>
    </w:pPr>
  </w:style>
  <w:style w:type="paragraph" w:styleId="Lista">
    <w:name w:val="List"/>
    <w:basedOn w:val="Corpodetexto"/>
    <w:rsid w:val="0015446F"/>
  </w:style>
  <w:style w:type="paragraph" w:styleId="Legenda">
    <w:name w:val="caption"/>
    <w:basedOn w:val="Normal"/>
    <w:qFormat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15446F"/>
    <w:pPr>
      <w:suppressLineNumbers/>
    </w:pPr>
  </w:style>
  <w:style w:type="paragraph" w:customStyle="1" w:styleId="Ttulo6">
    <w:name w:val="Título6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5">
    <w:name w:val="Legenda5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4">
    <w:name w:val="Título4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4">
    <w:name w:val="Legenda4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rsid w:val="0015446F"/>
    <w:pPr>
      <w:spacing w:after="0" w:line="240" w:lineRule="auto"/>
    </w:pPr>
  </w:style>
  <w:style w:type="paragraph" w:styleId="Rodap">
    <w:name w:val="footer"/>
    <w:basedOn w:val="Normal"/>
    <w:uiPriority w:val="99"/>
    <w:rsid w:val="0015446F"/>
    <w:pPr>
      <w:spacing w:after="0" w:line="240" w:lineRule="auto"/>
    </w:pPr>
  </w:style>
  <w:style w:type="paragraph" w:styleId="Textodebalo">
    <w:name w:val="Balloon Text"/>
    <w:basedOn w:val="Normal"/>
    <w:rsid w:val="001544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5446F"/>
    <w:pPr>
      <w:suppressLineNumbers/>
    </w:pPr>
  </w:style>
  <w:style w:type="paragraph" w:customStyle="1" w:styleId="Contedodatabela">
    <w:name w:val="Conteúdo da tabela"/>
    <w:basedOn w:val="Normal"/>
    <w:rsid w:val="0015446F"/>
    <w:pPr>
      <w:suppressLineNumbers/>
    </w:pPr>
  </w:style>
  <w:style w:type="paragraph" w:customStyle="1" w:styleId="Ttulodetabela">
    <w:name w:val="Título de tabela"/>
    <w:basedOn w:val="Contedodetabela"/>
    <w:rsid w:val="0015446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5446F"/>
    <w:pPr>
      <w:spacing w:before="100" w:after="100"/>
    </w:pPr>
    <w:rPr>
      <w:szCs w:val="24"/>
    </w:rPr>
  </w:style>
  <w:style w:type="paragraph" w:customStyle="1" w:styleId="WW-Recuodecorpodetexto2">
    <w:name w:val="WW-Recuo de corpo de texto 2"/>
    <w:basedOn w:val="Normal"/>
    <w:rsid w:val="0015446F"/>
    <w:pPr>
      <w:spacing w:before="120" w:after="0" w:line="360" w:lineRule="auto"/>
      <w:ind w:firstLine="2552"/>
      <w:jc w:val="both"/>
    </w:pPr>
    <w:rPr>
      <w:rFonts w:ascii="Times New Roman" w:hAnsi="Times New Roman" w:cs="Times New Roman"/>
      <w:sz w:val="26"/>
    </w:rPr>
  </w:style>
  <w:style w:type="paragraph" w:customStyle="1" w:styleId="Recuodecorpodetexto21">
    <w:name w:val="Recuo de corpo de texto 21"/>
    <w:basedOn w:val="Normal"/>
    <w:rsid w:val="0015446F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5446F"/>
    <w:pPr>
      <w:spacing w:after="120" w:line="480" w:lineRule="auto"/>
    </w:pPr>
  </w:style>
  <w:style w:type="character" w:customStyle="1" w:styleId="Ttulo1Char">
    <w:name w:val="Título 1 Char"/>
    <w:link w:val="Ttulo1"/>
    <w:rsid w:val="001F20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BC0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F731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Michel Favero</cp:lastModifiedBy>
  <cp:revision>2</cp:revision>
  <cp:lastPrinted>2012-10-15T13:00:00Z</cp:lastPrinted>
  <dcterms:created xsi:type="dcterms:W3CDTF">2018-10-04T21:02:00Z</dcterms:created>
  <dcterms:modified xsi:type="dcterms:W3CDTF">2018-10-04T21:02:00Z</dcterms:modified>
</cp:coreProperties>
</file>