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65" w:rsidRPr="000D6F65" w:rsidRDefault="000D6F65" w:rsidP="000D6F65">
      <w:pPr>
        <w:spacing w:after="24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0D6F65">
        <w:rPr>
          <w:rFonts w:ascii="Cambria" w:hAnsi="Cambria" w:cs="Arial"/>
          <w:b/>
          <w:bCs/>
          <w:sz w:val="24"/>
          <w:szCs w:val="24"/>
        </w:rPr>
        <w:t>RESOLUÇÃO Nº 03/CMDCA/2019.</w:t>
      </w:r>
    </w:p>
    <w:p w:rsidR="000D6F65" w:rsidRPr="000D6F65" w:rsidRDefault="000D6F65" w:rsidP="000D6F65">
      <w:pPr>
        <w:spacing w:after="240"/>
        <w:ind w:left="3969"/>
        <w:jc w:val="both"/>
        <w:rPr>
          <w:rFonts w:ascii="Cambria" w:hAnsi="Cambria" w:cs="Arial"/>
          <w:sz w:val="24"/>
          <w:szCs w:val="24"/>
        </w:rPr>
      </w:pPr>
      <w:r w:rsidRPr="000D6F65">
        <w:rPr>
          <w:rFonts w:ascii="Cambria" w:hAnsi="Cambria" w:cs="Arial"/>
          <w:sz w:val="24"/>
          <w:szCs w:val="24"/>
        </w:rPr>
        <w:t xml:space="preserve">“Institui Comissão Especial Eleitoral para eleição dos membros do Conselho Tutelar do Município de Catanduvas e dá outras providências.”       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 w:rsidRPr="000D6F65">
        <w:rPr>
          <w:rFonts w:ascii="Cambria" w:hAnsi="Cambria" w:cs="Arial"/>
          <w:color w:val="000000"/>
          <w:sz w:val="24"/>
          <w:szCs w:val="24"/>
        </w:rPr>
        <w:t xml:space="preserve">O </w:t>
      </w:r>
      <w:r w:rsidRPr="000D6F65">
        <w:rPr>
          <w:rFonts w:ascii="Cambria" w:hAnsi="Cambria" w:cs="Arial"/>
          <w:b/>
          <w:sz w:val="24"/>
          <w:szCs w:val="24"/>
        </w:rPr>
        <w:t>CONSELHO MUNICIPAL DOS DIREITOS DA CRIANÇA E DO ADOLESCENTE DE CATANDUVAS - CMDCA</w:t>
      </w:r>
      <w:r w:rsidRPr="000D6F65">
        <w:rPr>
          <w:rFonts w:ascii="Cambria" w:hAnsi="Cambria" w:cs="Arial"/>
          <w:sz w:val="24"/>
          <w:szCs w:val="24"/>
        </w:rPr>
        <w:t xml:space="preserve">, em cumprimento a Lei nº 8.069/90, </w:t>
      </w:r>
      <w:r w:rsidRPr="000D6F65">
        <w:rPr>
          <w:rFonts w:ascii="Cambria" w:hAnsi="Cambria" w:cs="Arial"/>
          <w:color w:val="000000"/>
          <w:sz w:val="24"/>
          <w:szCs w:val="24"/>
        </w:rPr>
        <w:t xml:space="preserve">e Lei Municipal Nº 2.640/2018 </w:t>
      </w:r>
      <w:r w:rsidRPr="000D6F65">
        <w:rPr>
          <w:rFonts w:ascii="Cambria" w:hAnsi="Cambria" w:cs="Arial"/>
          <w:sz w:val="24"/>
          <w:szCs w:val="24"/>
        </w:rPr>
        <w:t xml:space="preserve">e inciso I do </w:t>
      </w:r>
      <w:r w:rsidR="00B459FD">
        <w:rPr>
          <w:rFonts w:ascii="Cambria" w:hAnsi="Cambria" w:cs="Arial"/>
          <w:sz w:val="24"/>
          <w:szCs w:val="24"/>
        </w:rPr>
        <w:t>a</w:t>
      </w:r>
      <w:r w:rsidRPr="000D6F65">
        <w:rPr>
          <w:rFonts w:ascii="Cambria" w:hAnsi="Cambria" w:cs="Arial"/>
          <w:sz w:val="24"/>
          <w:szCs w:val="24"/>
        </w:rPr>
        <w:t xml:space="preserve">rt. 5º, da Resolução nº 139/10 do CONANDA – Conselho Nacional dos Direitos da Criança e do Adolescente, 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0D6F65">
        <w:rPr>
          <w:rFonts w:ascii="Cambria" w:hAnsi="Cambria" w:cs="Arial"/>
          <w:b/>
          <w:sz w:val="24"/>
          <w:szCs w:val="24"/>
        </w:rPr>
        <w:t>RESOLVE: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0D6F65">
        <w:rPr>
          <w:rFonts w:ascii="Cambria" w:hAnsi="Cambria" w:cs="Arial"/>
          <w:b/>
          <w:sz w:val="24"/>
          <w:szCs w:val="24"/>
        </w:rPr>
        <w:t>Art. 1º</w:t>
      </w:r>
      <w:r w:rsidR="00551DE7">
        <w:rPr>
          <w:rFonts w:ascii="Cambria" w:hAnsi="Cambria" w:cs="Arial"/>
          <w:b/>
          <w:sz w:val="24"/>
          <w:szCs w:val="24"/>
        </w:rPr>
        <w:t>.</w:t>
      </w:r>
      <w:r w:rsidRPr="000D6F65">
        <w:rPr>
          <w:rFonts w:ascii="Cambria" w:hAnsi="Cambria" w:cs="Arial"/>
          <w:sz w:val="24"/>
          <w:szCs w:val="24"/>
        </w:rPr>
        <w:t xml:space="preserve"> Instituir Comissão Especial Eleitoral com o objetivo de conduzir o processo de escolha dos membros do Conselho Tutelar, composta por três fases: inscrição, prova de conhecimento específico e eleição dos candidatos aprovados. </w:t>
      </w:r>
    </w:p>
    <w:p w:rsidR="000D6F65" w:rsidRPr="000D6F65" w:rsidRDefault="000D6F65" w:rsidP="00B459FD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0D6F65">
        <w:rPr>
          <w:rFonts w:ascii="Cambria" w:hAnsi="Cambria" w:cs="Arial"/>
          <w:b/>
          <w:sz w:val="24"/>
          <w:szCs w:val="24"/>
        </w:rPr>
        <w:t>Art. 2º</w:t>
      </w:r>
      <w:r w:rsidR="00551DE7">
        <w:rPr>
          <w:rFonts w:ascii="Cambria" w:hAnsi="Cambria" w:cs="Arial"/>
          <w:b/>
          <w:sz w:val="24"/>
          <w:szCs w:val="24"/>
        </w:rPr>
        <w:t>.</w:t>
      </w:r>
      <w:r w:rsidRPr="000D6F65">
        <w:rPr>
          <w:rFonts w:ascii="Cambria" w:hAnsi="Cambria" w:cs="Arial"/>
          <w:sz w:val="24"/>
          <w:szCs w:val="24"/>
        </w:rPr>
        <w:t xml:space="preserve"> Integra a Comissão Especial Eleitoral os seguintes conselheiros:</w:t>
      </w:r>
    </w:p>
    <w:p w:rsidR="000D6F65" w:rsidRPr="00B459FD" w:rsidRDefault="000D6F65" w:rsidP="00B459FD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sz w:val="24"/>
          <w:szCs w:val="24"/>
        </w:rPr>
        <w:t>I – Representantes do governo municipal:</w:t>
      </w:r>
    </w:p>
    <w:p w:rsidR="00232A57" w:rsidRPr="00B459FD" w:rsidRDefault="00232A57" w:rsidP="00B459FD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sz w:val="24"/>
          <w:szCs w:val="24"/>
        </w:rPr>
        <w:t xml:space="preserve">Silvana </w:t>
      </w:r>
      <w:proofErr w:type="spellStart"/>
      <w:r w:rsidRPr="00B459FD">
        <w:rPr>
          <w:rFonts w:ascii="Cambria" w:hAnsi="Cambria" w:cs="Arial"/>
          <w:sz w:val="24"/>
          <w:szCs w:val="24"/>
        </w:rPr>
        <w:t>Menegazzo</w:t>
      </w:r>
      <w:proofErr w:type="spellEnd"/>
      <w:r w:rsidR="00B459FD">
        <w:rPr>
          <w:rFonts w:ascii="Cambria" w:hAnsi="Cambria" w:cs="Arial"/>
          <w:sz w:val="24"/>
          <w:szCs w:val="24"/>
        </w:rPr>
        <w:t>;</w:t>
      </w:r>
    </w:p>
    <w:p w:rsidR="00B459FD" w:rsidRPr="00B459FD" w:rsidRDefault="00B459FD" w:rsidP="00B459FD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proofErr w:type="spellStart"/>
      <w:r w:rsidRPr="00B459FD">
        <w:rPr>
          <w:rFonts w:ascii="Cambria" w:hAnsi="Cambria" w:cs="Arial"/>
          <w:sz w:val="24"/>
          <w:szCs w:val="24"/>
        </w:rPr>
        <w:t>Lunalva</w:t>
      </w:r>
      <w:proofErr w:type="spellEnd"/>
      <w:r w:rsidRPr="00B459FD">
        <w:rPr>
          <w:rFonts w:ascii="Cambria" w:hAnsi="Cambria" w:cs="Arial"/>
          <w:sz w:val="24"/>
          <w:szCs w:val="24"/>
        </w:rPr>
        <w:t xml:space="preserve"> Cassiano</w:t>
      </w:r>
      <w:r>
        <w:rPr>
          <w:rFonts w:ascii="Cambria" w:hAnsi="Cambria" w:cs="Arial"/>
          <w:sz w:val="24"/>
          <w:szCs w:val="24"/>
        </w:rPr>
        <w:t>;</w:t>
      </w:r>
    </w:p>
    <w:p w:rsidR="00B459FD" w:rsidRPr="00B459FD" w:rsidRDefault="00B459FD" w:rsidP="00B459FD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sz w:val="24"/>
          <w:szCs w:val="24"/>
        </w:rPr>
        <w:t>Daniela Luiza Miotto</w:t>
      </w:r>
      <w:r>
        <w:rPr>
          <w:rFonts w:ascii="Cambria" w:hAnsi="Cambria" w:cs="Arial"/>
          <w:sz w:val="24"/>
          <w:szCs w:val="24"/>
        </w:rPr>
        <w:t>.</w:t>
      </w:r>
    </w:p>
    <w:p w:rsidR="000D6F65" w:rsidRPr="00B459FD" w:rsidRDefault="000D6F65" w:rsidP="00B459FD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sz w:val="24"/>
          <w:szCs w:val="24"/>
        </w:rPr>
        <w:t>II – Re</w:t>
      </w:r>
      <w:r w:rsidR="00232A57" w:rsidRPr="00B459FD">
        <w:rPr>
          <w:rFonts w:ascii="Cambria" w:hAnsi="Cambria" w:cs="Arial"/>
          <w:sz w:val="24"/>
          <w:szCs w:val="24"/>
        </w:rPr>
        <w:t>presentantes da sociedade civil</w:t>
      </w:r>
      <w:r w:rsidRPr="00B459FD">
        <w:rPr>
          <w:rFonts w:ascii="Cambria" w:hAnsi="Cambria" w:cs="Arial"/>
          <w:sz w:val="24"/>
          <w:szCs w:val="24"/>
        </w:rPr>
        <w:t>:</w:t>
      </w:r>
    </w:p>
    <w:p w:rsidR="00232A57" w:rsidRPr="00B459FD" w:rsidRDefault="00232A57" w:rsidP="00B459FD">
      <w:pPr>
        <w:pStyle w:val="Pargrafoda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proofErr w:type="spellStart"/>
      <w:r w:rsidRPr="00B459FD">
        <w:rPr>
          <w:rFonts w:ascii="Cambria" w:hAnsi="Cambria" w:cs="Arial"/>
          <w:sz w:val="24"/>
          <w:szCs w:val="24"/>
        </w:rPr>
        <w:t>Marilete</w:t>
      </w:r>
      <w:proofErr w:type="spellEnd"/>
      <w:r w:rsidRPr="00B459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B459FD">
        <w:rPr>
          <w:rFonts w:ascii="Cambria" w:hAnsi="Cambria" w:cs="Arial"/>
          <w:sz w:val="24"/>
          <w:szCs w:val="24"/>
        </w:rPr>
        <w:t>Chilantti</w:t>
      </w:r>
      <w:proofErr w:type="spellEnd"/>
      <w:r w:rsidR="00B459FD">
        <w:rPr>
          <w:rFonts w:ascii="Cambria" w:hAnsi="Cambria" w:cs="Arial"/>
          <w:sz w:val="24"/>
          <w:szCs w:val="24"/>
        </w:rPr>
        <w:t>;</w:t>
      </w:r>
    </w:p>
    <w:p w:rsidR="00232A57" w:rsidRPr="00B459FD" w:rsidRDefault="00232A57" w:rsidP="00B459FD">
      <w:pPr>
        <w:pStyle w:val="Pargrafoda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sz w:val="24"/>
          <w:szCs w:val="24"/>
        </w:rPr>
        <w:t>Carmem Rodrigues Ribeiro</w:t>
      </w:r>
      <w:r w:rsidR="00B459FD">
        <w:rPr>
          <w:rFonts w:ascii="Cambria" w:hAnsi="Cambria" w:cs="Arial"/>
          <w:sz w:val="24"/>
          <w:szCs w:val="24"/>
        </w:rPr>
        <w:t>;</w:t>
      </w:r>
    </w:p>
    <w:p w:rsidR="00232A57" w:rsidRDefault="00232A57" w:rsidP="00B459FD">
      <w:pPr>
        <w:pStyle w:val="Pargrafoda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sz w:val="24"/>
          <w:szCs w:val="24"/>
        </w:rPr>
        <w:t xml:space="preserve">Vânia Salete Moreira </w:t>
      </w:r>
      <w:proofErr w:type="spellStart"/>
      <w:r w:rsidRPr="00B459FD">
        <w:rPr>
          <w:rFonts w:ascii="Cambria" w:hAnsi="Cambria" w:cs="Arial"/>
          <w:sz w:val="24"/>
          <w:szCs w:val="24"/>
        </w:rPr>
        <w:t>Mioto</w:t>
      </w:r>
      <w:proofErr w:type="spellEnd"/>
      <w:r w:rsidR="00B459FD">
        <w:rPr>
          <w:rFonts w:ascii="Cambria" w:hAnsi="Cambria" w:cs="Arial"/>
          <w:sz w:val="24"/>
          <w:szCs w:val="24"/>
        </w:rPr>
        <w:t>.</w:t>
      </w:r>
    </w:p>
    <w:p w:rsidR="00B459FD" w:rsidRPr="00B459FD" w:rsidRDefault="00B459FD" w:rsidP="00B459FD">
      <w:pPr>
        <w:pStyle w:val="PargrafodaLista"/>
        <w:spacing w:line="36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B459FD" w:rsidRPr="00B459FD" w:rsidRDefault="000D6F65" w:rsidP="00B459FD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 w:rsidRPr="00B459FD">
        <w:rPr>
          <w:rFonts w:ascii="Cambria" w:hAnsi="Cambria" w:cs="Arial"/>
          <w:b/>
          <w:sz w:val="24"/>
          <w:szCs w:val="24"/>
        </w:rPr>
        <w:t>§1º</w:t>
      </w:r>
      <w:r w:rsidRPr="00B459FD">
        <w:rPr>
          <w:rFonts w:ascii="Cambria" w:hAnsi="Cambria" w:cs="Arial"/>
          <w:sz w:val="24"/>
          <w:szCs w:val="24"/>
        </w:rPr>
        <w:t xml:space="preserve"> A Comissão Especial Eleitoral será presidida por </w:t>
      </w:r>
      <w:proofErr w:type="spellStart"/>
      <w:r w:rsidR="00B459FD" w:rsidRPr="00B459FD">
        <w:rPr>
          <w:rFonts w:ascii="Cambria" w:hAnsi="Cambria" w:cs="Arial"/>
          <w:sz w:val="24"/>
          <w:szCs w:val="24"/>
        </w:rPr>
        <w:t>Marilete</w:t>
      </w:r>
      <w:proofErr w:type="spellEnd"/>
      <w:r w:rsidR="00B459FD" w:rsidRPr="00B459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B459FD" w:rsidRPr="00B459FD">
        <w:rPr>
          <w:rFonts w:ascii="Cambria" w:hAnsi="Cambria" w:cs="Arial"/>
          <w:sz w:val="24"/>
          <w:szCs w:val="24"/>
        </w:rPr>
        <w:t>Chilantti</w:t>
      </w:r>
      <w:proofErr w:type="spellEnd"/>
      <w:r w:rsidR="00B459FD">
        <w:rPr>
          <w:rFonts w:ascii="Cambria" w:hAnsi="Cambria" w:cs="Arial"/>
          <w:sz w:val="24"/>
          <w:szCs w:val="24"/>
        </w:rPr>
        <w:t>.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 w:rsidRPr="000D6F65">
        <w:rPr>
          <w:rFonts w:ascii="Cambria" w:hAnsi="Cambria" w:cs="Arial"/>
          <w:b/>
          <w:sz w:val="24"/>
          <w:szCs w:val="24"/>
        </w:rPr>
        <w:t>§2º</w:t>
      </w:r>
      <w:r w:rsidRPr="000D6F65">
        <w:rPr>
          <w:rFonts w:ascii="Cambria" w:hAnsi="Cambria" w:cs="Arial"/>
          <w:sz w:val="24"/>
          <w:szCs w:val="24"/>
        </w:rPr>
        <w:t xml:space="preserve"> Não poderão fazer parte da Comissão, os conselheiros que concorrerão ao processo membros do Conselho Tutelar ou que possuam cônjuge, companheiro, ainda que em união homo </w:t>
      </w:r>
      <w:proofErr w:type="gramStart"/>
      <w:r w:rsidRPr="000D6F65">
        <w:rPr>
          <w:rFonts w:ascii="Cambria" w:hAnsi="Cambria" w:cs="Arial"/>
          <w:sz w:val="24"/>
          <w:szCs w:val="24"/>
        </w:rPr>
        <w:t>afetiva, ou parentes em linha reta, colateral</w:t>
      </w:r>
      <w:proofErr w:type="gramEnd"/>
      <w:r w:rsidRPr="000D6F65">
        <w:rPr>
          <w:rFonts w:ascii="Cambria" w:hAnsi="Cambria" w:cs="Arial"/>
          <w:sz w:val="24"/>
          <w:szCs w:val="24"/>
        </w:rPr>
        <w:t xml:space="preserve"> ou por afinidade, até o terceiro grau, como filhos, pais, irmãos, enteados, padrasto, madrasta ou tios, q</w:t>
      </w:r>
      <w:r w:rsidR="00B459FD">
        <w:rPr>
          <w:rFonts w:ascii="Cambria" w:hAnsi="Cambria" w:cs="Arial"/>
          <w:sz w:val="24"/>
          <w:szCs w:val="24"/>
        </w:rPr>
        <w:t>ue irão participar do processo.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 w:rsidRPr="000D6F65">
        <w:rPr>
          <w:rFonts w:ascii="Cambria" w:hAnsi="Cambria" w:cs="Arial"/>
          <w:b/>
          <w:sz w:val="24"/>
          <w:szCs w:val="24"/>
        </w:rPr>
        <w:t>§3º</w:t>
      </w:r>
      <w:r w:rsidRPr="000D6F65">
        <w:rPr>
          <w:rFonts w:ascii="Cambria" w:hAnsi="Cambria" w:cs="Arial"/>
          <w:sz w:val="24"/>
          <w:szCs w:val="24"/>
        </w:rPr>
        <w:t xml:space="preserve"> Caso algum membro do CMDCA venha a tornar-se impedido por conta do disposto no §2º deste artigo, será afastado da Comissão, sendo substituído por qualquer outro c</w:t>
      </w:r>
      <w:r w:rsidR="00B459FD">
        <w:rPr>
          <w:rFonts w:ascii="Cambria" w:hAnsi="Cambria" w:cs="Arial"/>
          <w:sz w:val="24"/>
          <w:szCs w:val="24"/>
        </w:rPr>
        <w:t>onselheiro, inclusive suplente.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 w:rsidRPr="000D6F65">
        <w:rPr>
          <w:rFonts w:ascii="Cambria" w:hAnsi="Cambria" w:cs="Arial"/>
          <w:b/>
          <w:sz w:val="24"/>
          <w:szCs w:val="24"/>
        </w:rPr>
        <w:t>Art.</w:t>
      </w:r>
      <w:r w:rsidR="00232A57">
        <w:rPr>
          <w:rFonts w:ascii="Cambria" w:hAnsi="Cambria" w:cs="Arial"/>
          <w:b/>
          <w:sz w:val="24"/>
          <w:szCs w:val="24"/>
        </w:rPr>
        <w:t xml:space="preserve"> </w:t>
      </w:r>
      <w:r w:rsidR="00551DE7">
        <w:rPr>
          <w:rFonts w:ascii="Cambria" w:hAnsi="Cambria" w:cs="Arial"/>
          <w:b/>
          <w:sz w:val="24"/>
          <w:szCs w:val="24"/>
        </w:rPr>
        <w:t>3</w:t>
      </w:r>
      <w:r w:rsidRPr="000D6F65">
        <w:rPr>
          <w:rFonts w:ascii="Cambria" w:hAnsi="Cambria" w:cs="Arial"/>
          <w:b/>
          <w:sz w:val="24"/>
          <w:szCs w:val="24"/>
        </w:rPr>
        <w:t>º</w:t>
      </w:r>
      <w:r w:rsidR="00551DE7">
        <w:rPr>
          <w:rFonts w:ascii="Cambria" w:hAnsi="Cambria" w:cs="Arial"/>
          <w:b/>
          <w:sz w:val="24"/>
          <w:szCs w:val="24"/>
        </w:rPr>
        <w:t>.</w:t>
      </w:r>
      <w:r w:rsidRPr="000D6F65">
        <w:rPr>
          <w:rFonts w:ascii="Cambria" w:hAnsi="Cambria" w:cs="Arial"/>
          <w:sz w:val="24"/>
          <w:szCs w:val="24"/>
        </w:rPr>
        <w:t xml:space="preserve"> Compete a Comissão Eleitoral: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realizar reunião destinada a dar conhecimento formal das regras do processo </w:t>
      </w:r>
      <w:r w:rsidRPr="000D6F65">
        <w:rPr>
          <w:rFonts w:ascii="Cambria" w:hAnsi="Cambria"/>
          <w:b w:val="0"/>
          <w:szCs w:val="24"/>
        </w:rPr>
        <w:lastRenderedPageBreak/>
        <w:t xml:space="preserve">de escolha aos candidatos considerados habilitados, que firmarão compromisso de respeitá-las, sob pena de imposição das sanções previstas na legislação local;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estimular e facilitar o encaminhamento de notificação de fatos que constituam violação das regras de divulgação do processo de escolha por parte dos candidatos ou à sua ordem;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>analisar os pedidos de registro de pré-candidatura e fazer publicar todos os atos relativos ao processo de escolha;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analisar e decidir, em primeira instância administrativa, os pedidos de impugnação e outros incidentes ocorridos no dia da votação;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providenciar a confecção das cédulas, conforme modelo a ser aprovado pelo Conselho;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escolher e divulgar os locais do processo de escolha;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selecionar, preferencialmente junto aos órgãos públicos municipais, os mesários e escrutinadores, bem como, seus respectivos suplentes, que serão previamente orientados sobre como proceder no dia do processo de escolha, na forma da resolução regulamentadora do pleito;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solicitar, junto ao comando da Polícia Militar, a designação de efetivo para garantir a ordem e segurança dos locais do processo de escolha e apuração; </w:t>
      </w:r>
    </w:p>
    <w:p w:rsidR="000D6F65" w:rsidRP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divulgar, imediatamente após a apuração, o resultado oficial do processo de escolha; </w:t>
      </w:r>
    </w:p>
    <w:p w:rsidR="000D6F65" w:rsidRDefault="000D6F65" w:rsidP="003F5091">
      <w:pPr>
        <w:pStyle w:val="Corpodetexto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426" w:right="113" w:hanging="426"/>
        <w:rPr>
          <w:rFonts w:ascii="Cambria" w:hAnsi="Cambria"/>
          <w:b w:val="0"/>
          <w:szCs w:val="24"/>
        </w:rPr>
      </w:pPr>
      <w:r w:rsidRPr="000D6F65">
        <w:rPr>
          <w:rFonts w:ascii="Cambria" w:hAnsi="Cambria"/>
          <w:b w:val="0"/>
          <w:szCs w:val="24"/>
        </w:rPr>
        <w:t xml:space="preserve">resolver os casos omissos. </w:t>
      </w:r>
    </w:p>
    <w:p w:rsidR="00551DE7" w:rsidRPr="000D6F65" w:rsidRDefault="00551DE7" w:rsidP="00551DE7">
      <w:pPr>
        <w:pStyle w:val="Corpodetexto"/>
        <w:tabs>
          <w:tab w:val="left" w:pos="567"/>
        </w:tabs>
        <w:autoSpaceDE w:val="0"/>
        <w:autoSpaceDN w:val="0"/>
        <w:spacing w:line="360" w:lineRule="auto"/>
        <w:ind w:right="113"/>
        <w:rPr>
          <w:rFonts w:ascii="Cambria" w:hAnsi="Cambria"/>
          <w:b w:val="0"/>
          <w:szCs w:val="24"/>
        </w:rPr>
      </w:pPr>
    </w:p>
    <w:p w:rsidR="000D6F65" w:rsidRDefault="00551DE7" w:rsidP="000D6F65">
      <w:pPr>
        <w:spacing w:after="240" w:line="276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Art.</w:t>
      </w:r>
      <w:r w:rsidR="00232A57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4</w:t>
      </w:r>
      <w:r w:rsidR="000D6F65">
        <w:rPr>
          <w:rFonts w:ascii="Cambria" w:hAnsi="Cambria" w:cs="Arial"/>
          <w:b/>
          <w:sz w:val="24"/>
          <w:szCs w:val="24"/>
        </w:rPr>
        <w:t xml:space="preserve">º. </w:t>
      </w:r>
      <w:r w:rsidR="000D6F65" w:rsidRPr="00551DE7">
        <w:rPr>
          <w:rFonts w:ascii="Cambria" w:hAnsi="Cambria" w:cs="Arial"/>
          <w:sz w:val="24"/>
          <w:szCs w:val="24"/>
        </w:rPr>
        <w:t>Esta resolução entra em vigor na data de sua publicação.</w:t>
      </w:r>
    </w:p>
    <w:p w:rsidR="000D6F65" w:rsidRPr="000D6F65" w:rsidRDefault="000D6F65" w:rsidP="000D6F65">
      <w:pPr>
        <w:spacing w:after="24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:rsidR="000D6F65" w:rsidRPr="000D6F65" w:rsidRDefault="00232A57" w:rsidP="000D6F65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Catanduvas/SC, 23</w:t>
      </w:r>
      <w:r w:rsidR="000D6F65" w:rsidRPr="000D6F65">
        <w:rPr>
          <w:rFonts w:ascii="Cambria" w:hAnsi="Cambria" w:cs="Arial"/>
          <w:sz w:val="24"/>
          <w:szCs w:val="24"/>
        </w:rPr>
        <w:t xml:space="preserve"> de abril de 2019.</w:t>
      </w:r>
    </w:p>
    <w:p w:rsidR="000D6F65" w:rsidRPr="000D6F65" w:rsidRDefault="000D6F65" w:rsidP="000D6F65">
      <w:pPr>
        <w:rPr>
          <w:rFonts w:ascii="Cambria" w:hAnsi="Cambria" w:cs="Arial"/>
          <w:sz w:val="24"/>
          <w:szCs w:val="24"/>
        </w:rPr>
      </w:pPr>
    </w:p>
    <w:p w:rsidR="000D6F65" w:rsidRPr="000D6F65" w:rsidRDefault="000D6F65" w:rsidP="000D6F65">
      <w:pPr>
        <w:jc w:val="center"/>
        <w:rPr>
          <w:rFonts w:ascii="Cambria" w:hAnsi="Cambria" w:cs="Arial"/>
          <w:sz w:val="24"/>
          <w:szCs w:val="24"/>
        </w:rPr>
      </w:pPr>
    </w:p>
    <w:p w:rsidR="000D6F65" w:rsidRPr="00232A57" w:rsidRDefault="00232A57" w:rsidP="000D6F65">
      <w:pPr>
        <w:jc w:val="center"/>
        <w:rPr>
          <w:rFonts w:ascii="Cambria" w:hAnsi="Cambria" w:cs="Arial"/>
          <w:b/>
          <w:sz w:val="24"/>
          <w:szCs w:val="24"/>
        </w:rPr>
      </w:pPr>
      <w:r w:rsidRPr="00232A57">
        <w:rPr>
          <w:rFonts w:ascii="Cambria" w:hAnsi="Cambria" w:cs="Arial"/>
          <w:b/>
          <w:sz w:val="24"/>
          <w:szCs w:val="24"/>
        </w:rPr>
        <w:t>Daniela Luiza Miotto</w:t>
      </w:r>
    </w:p>
    <w:p w:rsidR="00232A57" w:rsidRPr="00232A57" w:rsidRDefault="000D6F65" w:rsidP="000D6F65">
      <w:pPr>
        <w:jc w:val="center"/>
        <w:rPr>
          <w:rFonts w:ascii="Cambria" w:hAnsi="Cambria" w:cs="Arial"/>
          <w:b/>
          <w:sz w:val="24"/>
          <w:szCs w:val="24"/>
        </w:rPr>
      </w:pPr>
      <w:r w:rsidRPr="00232A57">
        <w:rPr>
          <w:rFonts w:ascii="Cambria" w:hAnsi="Cambria" w:cs="Arial"/>
          <w:b/>
          <w:sz w:val="24"/>
          <w:szCs w:val="24"/>
        </w:rPr>
        <w:t xml:space="preserve">Presidente </w:t>
      </w:r>
    </w:p>
    <w:p w:rsidR="000D6F65" w:rsidRPr="00232A57" w:rsidRDefault="00232A57" w:rsidP="000D6F65">
      <w:pPr>
        <w:jc w:val="center"/>
        <w:rPr>
          <w:rFonts w:ascii="Cambria" w:hAnsi="Cambria" w:cs="Arial"/>
          <w:b/>
          <w:sz w:val="24"/>
          <w:szCs w:val="24"/>
        </w:rPr>
      </w:pPr>
      <w:r w:rsidRPr="00232A57">
        <w:rPr>
          <w:rFonts w:ascii="Cambria" w:hAnsi="Cambria" w:cs="Arial"/>
          <w:b/>
          <w:sz w:val="24"/>
          <w:szCs w:val="24"/>
        </w:rPr>
        <w:t xml:space="preserve">Conselho Municipal dos Direitos da Criança e Adolescente - </w:t>
      </w:r>
      <w:r w:rsidR="000D6F65" w:rsidRPr="00232A57">
        <w:rPr>
          <w:rFonts w:ascii="Cambria" w:hAnsi="Cambria" w:cs="Arial"/>
          <w:b/>
          <w:sz w:val="24"/>
          <w:szCs w:val="24"/>
        </w:rPr>
        <w:t>CMDCA</w:t>
      </w:r>
    </w:p>
    <w:p w:rsidR="003F59D2" w:rsidRPr="000D6F65" w:rsidRDefault="003F59D2">
      <w:pPr>
        <w:rPr>
          <w:rFonts w:ascii="Cambria" w:hAnsi="Cambria"/>
          <w:sz w:val="24"/>
          <w:szCs w:val="24"/>
        </w:rPr>
      </w:pPr>
    </w:p>
    <w:sectPr w:rsidR="003F59D2" w:rsidRPr="000D6F65" w:rsidSect="00FE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0D3"/>
    <w:multiLevelType w:val="hybridMultilevel"/>
    <w:tmpl w:val="DE90F41E"/>
    <w:lvl w:ilvl="0" w:tplc="FAA65308">
      <w:start w:val="1"/>
      <w:numFmt w:val="upperRoman"/>
      <w:lvlText w:val="%1."/>
      <w:lvlJc w:val="left"/>
      <w:pPr>
        <w:ind w:left="720" w:hanging="360"/>
      </w:pPr>
      <w:rPr>
        <w:rFonts w:hint="default"/>
        <w:w w:val="8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672F"/>
    <w:multiLevelType w:val="hybridMultilevel"/>
    <w:tmpl w:val="74EE36CA"/>
    <w:lvl w:ilvl="0" w:tplc="EA92A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9059B"/>
    <w:multiLevelType w:val="hybridMultilevel"/>
    <w:tmpl w:val="4C18A216"/>
    <w:lvl w:ilvl="0" w:tplc="F15AC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65"/>
    <w:rsid w:val="000D6F65"/>
    <w:rsid w:val="00232A57"/>
    <w:rsid w:val="003F5091"/>
    <w:rsid w:val="003F59D2"/>
    <w:rsid w:val="00551DE7"/>
    <w:rsid w:val="006732F9"/>
    <w:rsid w:val="006C281B"/>
    <w:rsid w:val="00B459FD"/>
    <w:rsid w:val="00D75817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F65"/>
    <w:pPr>
      <w:widowControl w:val="0"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6F65"/>
    <w:rPr>
      <w:rFonts w:ascii="Arial" w:eastAsia="Times New Roman" w:hAnsi="Arial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B4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F65"/>
    <w:pPr>
      <w:widowControl w:val="0"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6F65"/>
    <w:rPr>
      <w:rFonts w:ascii="Arial" w:eastAsia="Times New Roman" w:hAnsi="Arial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B4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deko-d2@hotmail.com</dc:creator>
  <cp:lastModifiedBy>Michel Favero</cp:lastModifiedBy>
  <cp:revision>2</cp:revision>
  <cp:lastPrinted>2019-04-23T19:12:00Z</cp:lastPrinted>
  <dcterms:created xsi:type="dcterms:W3CDTF">2019-04-24T17:54:00Z</dcterms:created>
  <dcterms:modified xsi:type="dcterms:W3CDTF">2019-04-24T17:54:00Z</dcterms:modified>
</cp:coreProperties>
</file>