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B1" w:rsidRPr="003C4C93" w:rsidRDefault="00F060D1" w:rsidP="00431329">
      <w:pPr>
        <w:spacing w:after="0" w:line="240" w:lineRule="auto"/>
        <w:rPr>
          <w:rFonts w:ascii="Times New Roman" w:eastAsia="DejaVu Serif" w:hAnsi="Times New Roman" w:cs="Times New Roman"/>
          <w:b/>
          <w:sz w:val="24"/>
          <w:szCs w:val="24"/>
        </w:rPr>
      </w:pPr>
      <w:r w:rsidRPr="003C4C93">
        <w:rPr>
          <w:rFonts w:ascii="Times New Roman" w:eastAsia="DejaVu Serif" w:hAnsi="Times New Roman" w:cs="Times New Roman"/>
          <w:b/>
          <w:sz w:val="24"/>
          <w:szCs w:val="24"/>
        </w:rPr>
        <w:t>Processo Administrativo</w:t>
      </w:r>
      <w:r w:rsidR="00106362" w:rsidRPr="003C4C93">
        <w:rPr>
          <w:rFonts w:ascii="Times New Roman" w:eastAsia="DejaVu Serif" w:hAnsi="Times New Roman" w:cs="Times New Roman"/>
          <w:b/>
          <w:sz w:val="24"/>
          <w:szCs w:val="24"/>
        </w:rPr>
        <w:t xml:space="preserve"> - Decreto nº 2.947/2023</w:t>
      </w:r>
    </w:p>
    <w:p w:rsidR="00431329" w:rsidRPr="003C4C93" w:rsidRDefault="00CC4C8A" w:rsidP="00431329">
      <w:pPr>
        <w:spacing w:after="0" w:line="240" w:lineRule="auto"/>
        <w:rPr>
          <w:rFonts w:ascii="Times New Roman" w:eastAsia="DejaVu Serif" w:hAnsi="Times New Roman" w:cs="Times New Roman"/>
          <w:b/>
          <w:sz w:val="24"/>
          <w:szCs w:val="24"/>
        </w:rPr>
      </w:pPr>
      <w:r w:rsidRPr="003C4C93">
        <w:rPr>
          <w:rFonts w:ascii="Times New Roman" w:eastAsia="DejaVu Serif" w:hAnsi="Times New Roman" w:cs="Times New Roman"/>
          <w:b/>
          <w:sz w:val="24"/>
          <w:szCs w:val="24"/>
        </w:rPr>
        <w:t xml:space="preserve">Empresa processada: </w:t>
      </w:r>
      <w:r w:rsidR="00106362" w:rsidRPr="003C4C93">
        <w:rPr>
          <w:rFonts w:ascii="Times New Roman" w:eastAsia="DejaVu Serif" w:hAnsi="Times New Roman" w:cs="Times New Roman"/>
          <w:b/>
          <w:sz w:val="24"/>
          <w:szCs w:val="24"/>
        </w:rPr>
        <w:t>De Lucca Park Ltda</w:t>
      </w:r>
    </w:p>
    <w:p w:rsidR="00F060D1" w:rsidRPr="003C4C93" w:rsidRDefault="00F060D1" w:rsidP="00A7119D">
      <w:pPr>
        <w:spacing w:line="360" w:lineRule="auto"/>
        <w:jc w:val="center"/>
        <w:rPr>
          <w:rFonts w:ascii="Times New Roman" w:eastAsia="DejaVu Serif" w:hAnsi="Times New Roman" w:cs="Times New Roman"/>
          <w:sz w:val="24"/>
          <w:szCs w:val="24"/>
        </w:rPr>
      </w:pPr>
    </w:p>
    <w:p w:rsidR="005C751B" w:rsidRPr="003C4C93" w:rsidRDefault="005C751B" w:rsidP="00A7119D">
      <w:pPr>
        <w:spacing w:line="360" w:lineRule="auto"/>
        <w:jc w:val="center"/>
        <w:rPr>
          <w:rFonts w:ascii="Times New Roman" w:eastAsia="DejaVu Serif" w:hAnsi="Times New Roman" w:cs="Times New Roman"/>
          <w:sz w:val="24"/>
          <w:szCs w:val="24"/>
        </w:rPr>
      </w:pPr>
    </w:p>
    <w:p w:rsidR="00E55ACA" w:rsidRPr="003C4C93" w:rsidRDefault="00FA42E0" w:rsidP="00FA42E0">
      <w:pPr>
        <w:suppressAutoHyphens w:val="0"/>
        <w:autoSpaceDE w:val="0"/>
        <w:spacing w:after="0" w:line="240" w:lineRule="auto"/>
        <w:jc w:val="center"/>
        <w:rPr>
          <w:rFonts w:ascii="Times New Roman" w:eastAsia="DejaVu Serif" w:hAnsi="Times New Roman" w:cs="Times New Roman"/>
          <w:b/>
          <w:bCs/>
          <w:sz w:val="24"/>
          <w:szCs w:val="24"/>
        </w:rPr>
      </w:pPr>
      <w:r w:rsidRPr="003C4C93">
        <w:rPr>
          <w:rFonts w:ascii="Times New Roman" w:eastAsia="DejaVu Serif" w:hAnsi="Times New Roman" w:cs="Times New Roman"/>
          <w:b/>
          <w:bCs/>
          <w:sz w:val="24"/>
          <w:szCs w:val="24"/>
        </w:rPr>
        <w:t>DECISÃO ADMINISTRATIVA</w:t>
      </w:r>
    </w:p>
    <w:p w:rsidR="00431329" w:rsidRPr="003C4C93" w:rsidRDefault="00431329" w:rsidP="00431329">
      <w:pPr>
        <w:suppressAutoHyphens w:val="0"/>
        <w:autoSpaceDE w:val="0"/>
        <w:spacing w:after="0" w:line="240" w:lineRule="auto"/>
        <w:jc w:val="both"/>
        <w:rPr>
          <w:rFonts w:ascii="Times New Roman" w:eastAsia="DejaVu Serif" w:hAnsi="Times New Roman" w:cs="Times New Roman"/>
          <w:sz w:val="24"/>
          <w:szCs w:val="24"/>
        </w:rPr>
      </w:pPr>
    </w:p>
    <w:p w:rsidR="00E55ACA" w:rsidRPr="003C4C93" w:rsidRDefault="00E55ACA" w:rsidP="00714488">
      <w:pPr>
        <w:suppressAutoHyphens w:val="0"/>
        <w:autoSpaceDE w:val="0"/>
        <w:spacing w:after="0" w:line="240" w:lineRule="auto"/>
        <w:jc w:val="both"/>
        <w:rPr>
          <w:rFonts w:ascii="Times New Roman" w:eastAsia="DejaVu Serif" w:hAnsi="Times New Roman" w:cs="Times New Roman"/>
          <w:sz w:val="24"/>
          <w:szCs w:val="24"/>
        </w:rPr>
      </w:pPr>
    </w:p>
    <w:p w:rsidR="00E55ACA" w:rsidRPr="003C4C93" w:rsidRDefault="00E55ACA" w:rsidP="00714488">
      <w:pPr>
        <w:suppressAutoHyphens w:val="0"/>
        <w:autoSpaceDE w:val="0"/>
        <w:spacing w:after="0" w:line="240" w:lineRule="auto"/>
        <w:jc w:val="both"/>
        <w:rPr>
          <w:rFonts w:ascii="Times New Roman" w:eastAsia="DejaVu Serif" w:hAnsi="Times New Roman" w:cs="Times New Roman"/>
          <w:sz w:val="24"/>
          <w:szCs w:val="24"/>
        </w:rPr>
      </w:pPr>
    </w:p>
    <w:p w:rsidR="00E772D4" w:rsidRPr="003C4C93" w:rsidRDefault="00E772D4" w:rsidP="00431329">
      <w:pPr>
        <w:suppressAutoHyphens w:val="0"/>
        <w:autoSpaceDE w:val="0"/>
        <w:spacing w:after="240" w:line="360" w:lineRule="auto"/>
        <w:jc w:val="both"/>
        <w:rPr>
          <w:rFonts w:ascii="Times New Roman" w:eastAsia="DejaVu Serif" w:hAnsi="Times New Roman" w:cs="Times New Roman"/>
          <w:b/>
          <w:sz w:val="24"/>
          <w:szCs w:val="24"/>
        </w:rPr>
      </w:pPr>
      <w:r w:rsidRPr="003C4C93">
        <w:rPr>
          <w:rFonts w:ascii="Times New Roman" w:eastAsia="DejaVu Serif" w:hAnsi="Times New Roman" w:cs="Times New Roman"/>
          <w:b/>
          <w:sz w:val="24"/>
          <w:szCs w:val="24"/>
        </w:rPr>
        <w:t>RELATÓRIO</w:t>
      </w:r>
      <w:r w:rsidR="00CC4C8A" w:rsidRPr="003C4C93">
        <w:rPr>
          <w:rFonts w:ascii="Times New Roman" w:eastAsia="DejaVu Serif" w:hAnsi="Times New Roman" w:cs="Times New Roman"/>
          <w:b/>
          <w:sz w:val="24"/>
          <w:szCs w:val="24"/>
        </w:rPr>
        <w:t xml:space="preserve"> </w:t>
      </w:r>
    </w:p>
    <w:p w:rsidR="005D2D59" w:rsidRPr="003C4C93" w:rsidRDefault="00431329" w:rsidP="005D2D59">
      <w:pPr>
        <w:spacing w:after="240" w:line="360" w:lineRule="auto"/>
        <w:jc w:val="both"/>
        <w:rPr>
          <w:rFonts w:ascii="Times New Roman" w:hAnsi="Times New Roman" w:cs="Times New Roman"/>
          <w:sz w:val="24"/>
          <w:szCs w:val="24"/>
        </w:rPr>
      </w:pPr>
      <w:r w:rsidRPr="003C4C93">
        <w:rPr>
          <w:rFonts w:ascii="Times New Roman" w:eastAsia="DejaVu Serif" w:hAnsi="Times New Roman" w:cs="Times New Roman"/>
          <w:sz w:val="24"/>
          <w:szCs w:val="24"/>
        </w:rPr>
        <w:t xml:space="preserve">Trata-se de processo administrativo instaurado </w:t>
      </w:r>
      <w:r w:rsidR="005D2D59" w:rsidRPr="003C4C93">
        <w:rPr>
          <w:rFonts w:ascii="Times New Roman" w:hAnsi="Times New Roman" w:cs="Times New Roman"/>
          <w:color w:val="000000" w:themeColor="text1"/>
          <w:sz w:val="24"/>
          <w:szCs w:val="24"/>
        </w:rPr>
        <w:t>pelo</w:t>
      </w:r>
      <w:r w:rsidRPr="003C4C93">
        <w:rPr>
          <w:rFonts w:ascii="Times New Roman" w:hAnsi="Times New Roman" w:cs="Times New Roman"/>
          <w:color w:val="000000" w:themeColor="text1"/>
          <w:sz w:val="24"/>
          <w:szCs w:val="24"/>
        </w:rPr>
        <w:t xml:space="preserve"> Decreto nº </w:t>
      </w:r>
      <w:r w:rsidR="00E11BFE" w:rsidRPr="003C4C93">
        <w:rPr>
          <w:rFonts w:ascii="Times New Roman" w:hAnsi="Times New Roman" w:cs="Times New Roman"/>
          <w:color w:val="000000" w:themeColor="text1"/>
          <w:sz w:val="24"/>
          <w:szCs w:val="24"/>
        </w:rPr>
        <w:t>2.</w:t>
      </w:r>
      <w:r w:rsidR="00106362" w:rsidRPr="003C4C93">
        <w:rPr>
          <w:rFonts w:ascii="Times New Roman" w:hAnsi="Times New Roman" w:cs="Times New Roman"/>
          <w:color w:val="000000" w:themeColor="text1"/>
          <w:sz w:val="24"/>
          <w:szCs w:val="24"/>
        </w:rPr>
        <w:t>947/2023</w:t>
      </w:r>
      <w:r w:rsidRPr="003C4C93">
        <w:rPr>
          <w:rFonts w:ascii="Times New Roman" w:hAnsi="Times New Roman" w:cs="Times New Roman"/>
          <w:color w:val="000000" w:themeColor="text1"/>
          <w:sz w:val="24"/>
          <w:szCs w:val="24"/>
        </w:rPr>
        <w:t xml:space="preserve">, de </w:t>
      </w:r>
      <w:r w:rsidR="00106362" w:rsidRPr="003C4C93">
        <w:rPr>
          <w:rFonts w:ascii="Times New Roman" w:hAnsi="Times New Roman" w:cs="Times New Roman"/>
          <w:color w:val="000000" w:themeColor="text1"/>
          <w:sz w:val="24"/>
          <w:szCs w:val="24"/>
        </w:rPr>
        <w:t>13 de março de 2023</w:t>
      </w:r>
      <w:r w:rsidRPr="003C4C93">
        <w:rPr>
          <w:rFonts w:ascii="Times New Roman" w:hAnsi="Times New Roman" w:cs="Times New Roman"/>
          <w:color w:val="000000" w:themeColor="text1"/>
          <w:sz w:val="24"/>
          <w:szCs w:val="24"/>
        </w:rPr>
        <w:t>,</w:t>
      </w:r>
      <w:r w:rsidR="00106362" w:rsidRPr="003C4C93">
        <w:rPr>
          <w:rFonts w:ascii="Times New Roman" w:hAnsi="Times New Roman" w:cs="Times New Roman"/>
          <w:color w:val="000000" w:themeColor="text1"/>
          <w:sz w:val="24"/>
          <w:szCs w:val="24"/>
        </w:rPr>
        <w:t xml:space="preserve"> </w:t>
      </w:r>
      <w:r w:rsidR="005D2D59" w:rsidRPr="003C4C93">
        <w:rPr>
          <w:rFonts w:ascii="Times New Roman" w:hAnsi="Times New Roman" w:cs="Times New Roman"/>
          <w:color w:val="000000" w:themeColor="text1"/>
          <w:sz w:val="24"/>
          <w:szCs w:val="24"/>
        </w:rPr>
        <w:t>em face da empresa De Lucca Park</w:t>
      </w:r>
      <w:r w:rsidR="00106362" w:rsidRPr="003C4C93">
        <w:rPr>
          <w:rFonts w:ascii="Times New Roman" w:hAnsi="Times New Roman" w:cs="Times New Roman"/>
          <w:color w:val="000000" w:themeColor="text1"/>
          <w:sz w:val="24"/>
          <w:szCs w:val="24"/>
        </w:rPr>
        <w:t xml:space="preserve"> Ltda</w:t>
      </w:r>
      <w:r w:rsidR="005D2D59" w:rsidRPr="003C4C93">
        <w:rPr>
          <w:rFonts w:ascii="Times New Roman" w:eastAsia="DejaVu Serif" w:hAnsi="Times New Roman" w:cs="Times New Roman"/>
          <w:sz w:val="24"/>
          <w:szCs w:val="24"/>
        </w:rPr>
        <w:t xml:space="preserve">, com a finalidade de apurar </w:t>
      </w:r>
      <w:r w:rsidR="005D2D59" w:rsidRPr="003C4C93">
        <w:rPr>
          <w:rFonts w:ascii="Times New Roman" w:hAnsi="Times New Roman" w:cs="Times New Roman"/>
          <w:sz w:val="24"/>
          <w:szCs w:val="24"/>
          <w:lang w:eastAsia="pt-BR"/>
        </w:rPr>
        <w:t>irregularidade</w:t>
      </w:r>
      <w:r w:rsidR="003C4C93" w:rsidRPr="003C4C93">
        <w:rPr>
          <w:rFonts w:ascii="Times New Roman" w:hAnsi="Times New Roman" w:cs="Times New Roman"/>
          <w:sz w:val="24"/>
          <w:szCs w:val="24"/>
          <w:lang w:eastAsia="pt-BR"/>
        </w:rPr>
        <w:t>s</w:t>
      </w:r>
      <w:r w:rsidR="008F7D88" w:rsidRPr="003C4C93">
        <w:rPr>
          <w:rFonts w:ascii="Times New Roman" w:hAnsi="Times New Roman" w:cs="Times New Roman"/>
          <w:sz w:val="24"/>
          <w:szCs w:val="24"/>
          <w:lang w:eastAsia="pt-BR"/>
        </w:rPr>
        <w:t xml:space="preserve"> em processo licitatório,</w:t>
      </w:r>
      <w:r w:rsidR="005D2D59" w:rsidRPr="003C4C93">
        <w:rPr>
          <w:rFonts w:ascii="Times New Roman" w:hAnsi="Times New Roman" w:cs="Times New Roman"/>
          <w:sz w:val="24"/>
          <w:szCs w:val="24"/>
          <w:lang w:eastAsia="pt-BR"/>
        </w:rPr>
        <w:t xml:space="preserve"> na apresentação dos documentos que comprovariam a capacidade técnica da empresa no processo de licitação Tomada de Preços nº 0009/2022, do qual decorreu o Contrato Administrativo </w:t>
      </w:r>
      <w:r w:rsidR="005D2D59" w:rsidRPr="003C4C93">
        <w:rPr>
          <w:rFonts w:ascii="Times New Roman" w:hAnsi="Times New Roman" w:cs="Times New Roman"/>
          <w:sz w:val="24"/>
          <w:szCs w:val="24"/>
        </w:rPr>
        <w:t>PMC nº 0002/2023</w:t>
      </w:r>
      <w:r w:rsidR="005D2D59" w:rsidRPr="003C4C93">
        <w:rPr>
          <w:rFonts w:ascii="Times New Roman" w:hAnsi="Times New Roman" w:cs="Times New Roman"/>
          <w:sz w:val="24"/>
          <w:szCs w:val="24"/>
          <w:lang w:eastAsia="pt-BR"/>
        </w:rPr>
        <w:t xml:space="preserve">, firmado em 06/01/2023. Tem também a finalidade de se verificar a existência de nulidade contratual nos </w:t>
      </w:r>
      <w:r w:rsidR="005D2D59" w:rsidRPr="003C4C93">
        <w:rPr>
          <w:rFonts w:ascii="Times New Roman" w:hAnsi="Times New Roman" w:cs="Times New Roman"/>
          <w:sz w:val="24"/>
          <w:szCs w:val="24"/>
        </w:rPr>
        <w:t>termos do art. 49 da Lei nº 8.666/93 e a aplicação de sanções administrativas conforme art. 88 da Lei nº 8.666/93 e de outros dispositivos da mesma lei.</w:t>
      </w:r>
    </w:p>
    <w:p w:rsidR="005D2D59" w:rsidRPr="003C4C93" w:rsidRDefault="005D2D59" w:rsidP="005D2D59">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A contratada foi notificada e apresent</w:t>
      </w:r>
      <w:r w:rsidR="00B12243" w:rsidRPr="003C4C93">
        <w:rPr>
          <w:rFonts w:ascii="Times New Roman" w:hAnsi="Times New Roman" w:cs="Times New Roman"/>
          <w:sz w:val="24"/>
          <w:szCs w:val="24"/>
        </w:rPr>
        <w:t>ou defesa prévia, não requerendo</w:t>
      </w:r>
      <w:r w:rsidRPr="003C4C93">
        <w:rPr>
          <w:rFonts w:ascii="Times New Roman" w:hAnsi="Times New Roman" w:cs="Times New Roman"/>
          <w:sz w:val="24"/>
          <w:szCs w:val="24"/>
        </w:rPr>
        <w:t xml:space="preserve"> qualquer prova adicional além daquelas acostadas à sua petição.</w:t>
      </w:r>
    </w:p>
    <w:p w:rsidR="005D2D59" w:rsidRPr="003C4C93" w:rsidRDefault="005D2D59" w:rsidP="005D2D59">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A Comissão, analisando os documentos </w:t>
      </w:r>
      <w:r w:rsidR="00CC70D1" w:rsidRPr="003C4C93">
        <w:rPr>
          <w:rFonts w:ascii="Times New Roman" w:hAnsi="Times New Roman" w:cs="Times New Roman"/>
          <w:sz w:val="24"/>
          <w:szCs w:val="24"/>
        </w:rPr>
        <w:t xml:space="preserve">dos autos e aqueles apresentados na defesa, </w:t>
      </w:r>
      <w:r w:rsidRPr="003C4C93">
        <w:rPr>
          <w:rFonts w:ascii="Times New Roman" w:hAnsi="Times New Roman" w:cs="Times New Roman"/>
          <w:sz w:val="24"/>
          <w:szCs w:val="24"/>
        </w:rPr>
        <w:t>entendeu pela desnecessidad</w:t>
      </w:r>
      <w:r w:rsidR="003C4C93" w:rsidRPr="003C4C93">
        <w:rPr>
          <w:rFonts w:ascii="Times New Roman" w:hAnsi="Times New Roman" w:cs="Times New Roman"/>
          <w:sz w:val="24"/>
          <w:szCs w:val="24"/>
        </w:rPr>
        <w:t xml:space="preserve">e de produção de outras provas </w:t>
      </w:r>
      <w:r w:rsidRPr="003C4C93">
        <w:rPr>
          <w:rFonts w:ascii="Times New Roman" w:hAnsi="Times New Roman" w:cs="Times New Roman"/>
          <w:sz w:val="24"/>
          <w:szCs w:val="24"/>
        </w:rPr>
        <w:t xml:space="preserve">e notificou </w:t>
      </w:r>
      <w:r w:rsidR="00CC70D1" w:rsidRPr="003C4C93">
        <w:rPr>
          <w:rFonts w:ascii="Times New Roman" w:hAnsi="Times New Roman" w:cs="Times New Roman"/>
          <w:sz w:val="24"/>
          <w:szCs w:val="24"/>
        </w:rPr>
        <w:t>a contratada para defesa final e forneceu cópia integral dos autos.</w:t>
      </w:r>
    </w:p>
    <w:p w:rsidR="00CC70D1" w:rsidRPr="003C4C93" w:rsidRDefault="00CC70D1" w:rsidP="005D2D59">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Deixando a empresa transcorrer </w:t>
      </w:r>
      <w:r w:rsidRPr="003C4C93">
        <w:rPr>
          <w:rFonts w:ascii="Times New Roman" w:hAnsi="Times New Roman" w:cs="Times New Roman"/>
          <w:i/>
          <w:sz w:val="24"/>
          <w:szCs w:val="24"/>
        </w:rPr>
        <w:t>in albis</w:t>
      </w:r>
      <w:r w:rsidRPr="003C4C93">
        <w:rPr>
          <w:rFonts w:ascii="Times New Roman" w:hAnsi="Times New Roman" w:cs="Times New Roman"/>
          <w:sz w:val="24"/>
          <w:szCs w:val="24"/>
        </w:rPr>
        <w:t xml:space="preserve"> o prazo para a defesa final, elaborou </w:t>
      </w:r>
      <w:r w:rsidR="008F7D88" w:rsidRPr="003C4C93">
        <w:rPr>
          <w:rFonts w:ascii="Times New Roman" w:hAnsi="Times New Roman" w:cs="Times New Roman"/>
          <w:sz w:val="24"/>
          <w:szCs w:val="24"/>
        </w:rPr>
        <w:t>a comissão parecer conclusivo, encerrado</w:t>
      </w:r>
      <w:r w:rsidRPr="003C4C93">
        <w:rPr>
          <w:rFonts w:ascii="Times New Roman" w:hAnsi="Times New Roman" w:cs="Times New Roman"/>
          <w:sz w:val="24"/>
          <w:szCs w:val="24"/>
        </w:rPr>
        <w:t xml:space="preserve"> nos seguintes termos:</w:t>
      </w:r>
    </w:p>
    <w:p w:rsidR="00FC549F" w:rsidRPr="003C4C93" w:rsidRDefault="00FC549F" w:rsidP="00FC549F">
      <w:pPr>
        <w:ind w:left="1701"/>
        <w:jc w:val="both"/>
        <w:rPr>
          <w:rFonts w:ascii="Times New Roman" w:hAnsi="Times New Roman" w:cs="Times New Roman"/>
          <w:sz w:val="24"/>
          <w:szCs w:val="24"/>
        </w:rPr>
      </w:pPr>
      <w:r w:rsidRPr="003C4C93">
        <w:rPr>
          <w:rFonts w:ascii="Times New Roman" w:hAnsi="Times New Roman" w:cs="Times New Roman"/>
          <w:sz w:val="24"/>
          <w:szCs w:val="24"/>
        </w:rPr>
        <w:t>De forma resumida e embasado nos artigos supracitados da Le</w:t>
      </w:r>
      <w:r w:rsidR="001C746A" w:rsidRPr="003C4C93">
        <w:rPr>
          <w:rFonts w:ascii="Times New Roman" w:hAnsi="Times New Roman" w:cs="Times New Roman"/>
          <w:sz w:val="24"/>
          <w:szCs w:val="24"/>
        </w:rPr>
        <w:t>i n</w:t>
      </w:r>
      <w:r w:rsidRPr="003C4C93">
        <w:rPr>
          <w:rFonts w:ascii="Times New Roman" w:hAnsi="Times New Roman" w:cs="Times New Roman"/>
          <w:sz w:val="24"/>
          <w:szCs w:val="24"/>
        </w:rPr>
        <w:t>º 8.666, de 21 junho de 1993, a Comissão do Processo Administrativo sugere: a nulidade do contrato; o ressarcimento ao contratado pelos serviços executados em conformidade até a data da instauração do processo administrativo; a suspensão temporária de participação em licitação e impedimento de contratar com a Administração pelo prazo de 2 (dois) anos; ressarcir a Administração pelos prejuízos resultantes (multa); declaração de inidoneidade para licitar ou contratar com a administração até o ressarcimento pelos prejuízos com a Administração Pública e após decorrido o prazo da sanção aplicada (dois anos).</w:t>
      </w:r>
    </w:p>
    <w:p w:rsidR="007A351A" w:rsidRPr="003C4C93" w:rsidRDefault="007A351A"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 xml:space="preserve">A </w:t>
      </w:r>
      <w:r w:rsidR="00563C5F" w:rsidRPr="003C4C93">
        <w:rPr>
          <w:rFonts w:ascii="Times New Roman" w:eastAsia="DejaVu Serif" w:hAnsi="Times New Roman" w:cs="Times New Roman"/>
          <w:sz w:val="24"/>
          <w:szCs w:val="24"/>
        </w:rPr>
        <w:t xml:space="preserve">empresa processada interpôs recurso contra a decisão, </w:t>
      </w:r>
      <w:r w:rsidRPr="003C4C93">
        <w:rPr>
          <w:rFonts w:ascii="Times New Roman" w:eastAsia="DejaVu Serif" w:hAnsi="Times New Roman" w:cs="Times New Roman"/>
          <w:sz w:val="24"/>
          <w:szCs w:val="24"/>
        </w:rPr>
        <w:t>argumentando, em síntese, excesso de prazo na conclusão do procedimento,</w:t>
      </w:r>
      <w:r w:rsidR="00563C5F" w:rsidRPr="003C4C93">
        <w:rPr>
          <w:rFonts w:ascii="Times New Roman" w:eastAsia="DejaVu Serif" w:hAnsi="Times New Roman" w:cs="Times New Roman"/>
          <w:sz w:val="24"/>
          <w:szCs w:val="24"/>
        </w:rPr>
        <w:t xml:space="preserve"> que </w:t>
      </w:r>
      <w:r w:rsidRPr="003C4C93">
        <w:rPr>
          <w:rFonts w:ascii="Times New Roman" w:eastAsia="DejaVu Serif" w:hAnsi="Times New Roman" w:cs="Times New Roman"/>
          <w:sz w:val="24"/>
          <w:szCs w:val="24"/>
        </w:rPr>
        <w:t>não foi observado o contraditório e a ampla defesa, que foi realizada vistoria</w:t>
      </w:r>
      <w:r w:rsidR="008F7D88" w:rsidRPr="003C4C93">
        <w:rPr>
          <w:rFonts w:ascii="Times New Roman" w:eastAsia="DejaVu Serif" w:hAnsi="Times New Roman" w:cs="Times New Roman"/>
          <w:sz w:val="24"/>
          <w:szCs w:val="24"/>
        </w:rPr>
        <w:t xml:space="preserve"> na obra objeto da RRT/CAU,</w:t>
      </w:r>
      <w:r w:rsidRPr="003C4C93">
        <w:rPr>
          <w:rFonts w:ascii="Times New Roman" w:eastAsia="DejaVu Serif" w:hAnsi="Times New Roman" w:cs="Times New Roman"/>
          <w:sz w:val="24"/>
          <w:szCs w:val="24"/>
        </w:rPr>
        <w:t xml:space="preserve"> sem a presença do representante da empresa</w:t>
      </w:r>
      <w:r w:rsidR="008F7D88" w:rsidRPr="003C4C93">
        <w:rPr>
          <w:rFonts w:ascii="Times New Roman" w:eastAsia="DejaVu Serif" w:hAnsi="Times New Roman" w:cs="Times New Roman"/>
          <w:sz w:val="24"/>
          <w:szCs w:val="24"/>
        </w:rPr>
        <w:t>,</w:t>
      </w:r>
      <w:r w:rsidRPr="003C4C93">
        <w:rPr>
          <w:rFonts w:ascii="Times New Roman" w:eastAsia="DejaVu Serif" w:hAnsi="Times New Roman" w:cs="Times New Roman"/>
          <w:sz w:val="24"/>
          <w:szCs w:val="24"/>
        </w:rPr>
        <w:t xml:space="preserve"> e que </w:t>
      </w:r>
      <w:r w:rsidR="00563C5F" w:rsidRPr="003C4C93">
        <w:rPr>
          <w:rFonts w:ascii="Times New Roman" w:eastAsia="DejaVu Serif" w:hAnsi="Times New Roman" w:cs="Times New Roman"/>
          <w:sz w:val="24"/>
          <w:szCs w:val="24"/>
        </w:rPr>
        <w:t xml:space="preserve">a pena de declaração de inidoneidade </w:t>
      </w:r>
      <w:r w:rsidRPr="003C4C93">
        <w:rPr>
          <w:rFonts w:ascii="Times New Roman" w:eastAsia="DejaVu Serif" w:hAnsi="Times New Roman" w:cs="Times New Roman"/>
          <w:sz w:val="24"/>
          <w:szCs w:val="24"/>
        </w:rPr>
        <w:t>deveria ser aplicada pela Secretária de Administração, Gestão e Planejamento, requerendo a nulidade do processo administrativo.</w:t>
      </w:r>
    </w:p>
    <w:p w:rsidR="007A351A" w:rsidRPr="003C4C93" w:rsidRDefault="00A35B80" w:rsidP="00431329">
      <w:pPr>
        <w:suppressAutoHyphens w:val="0"/>
        <w:autoSpaceDE w:val="0"/>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Considerando a expressa previsão da necessidade de notificação prévia do fornecedor para todos os atos processuais, conforme o art. 8º, I, do Decreto nº 2.365/2018 e</w:t>
      </w:r>
      <w:r w:rsidR="003910E3" w:rsidRPr="003C4C93">
        <w:rPr>
          <w:rFonts w:ascii="Times New Roman" w:hAnsi="Times New Roman" w:cs="Times New Roman"/>
          <w:sz w:val="24"/>
          <w:szCs w:val="24"/>
        </w:rPr>
        <w:t>, considerando</w:t>
      </w:r>
      <w:r w:rsidRPr="003C4C93">
        <w:rPr>
          <w:rFonts w:ascii="Times New Roman" w:hAnsi="Times New Roman" w:cs="Times New Roman"/>
          <w:sz w:val="24"/>
          <w:szCs w:val="24"/>
        </w:rPr>
        <w:t xml:space="preserve"> a falta de</w:t>
      </w:r>
      <w:r w:rsidR="007A351A" w:rsidRPr="003C4C93">
        <w:rPr>
          <w:rFonts w:ascii="Times New Roman" w:eastAsia="DejaVu Serif" w:hAnsi="Times New Roman" w:cs="Times New Roman"/>
          <w:sz w:val="24"/>
          <w:szCs w:val="24"/>
        </w:rPr>
        <w:t xml:space="preserve"> notificação prévia do representante da empresa para acompanhar a vistoria </w:t>
      </w:r>
      <w:r w:rsidR="007A351A" w:rsidRPr="003C4C93">
        <w:rPr>
          <w:rFonts w:ascii="Times New Roman" w:hAnsi="Times New Roman" w:cs="Times New Roman"/>
          <w:sz w:val="24"/>
          <w:szCs w:val="24"/>
        </w:rPr>
        <w:t xml:space="preserve">da obra </w:t>
      </w:r>
      <w:r w:rsidR="003910E3" w:rsidRPr="003C4C93">
        <w:rPr>
          <w:rFonts w:ascii="Times New Roman" w:hAnsi="Times New Roman" w:cs="Times New Roman"/>
          <w:sz w:val="24"/>
          <w:szCs w:val="24"/>
        </w:rPr>
        <w:t>(</w:t>
      </w:r>
      <w:r w:rsidR="003C4C93" w:rsidRPr="003C4C93">
        <w:rPr>
          <w:rFonts w:ascii="Times New Roman" w:hAnsi="Times New Roman" w:cs="Times New Roman"/>
          <w:sz w:val="24"/>
          <w:szCs w:val="24"/>
        </w:rPr>
        <w:t xml:space="preserve">obra </w:t>
      </w:r>
      <w:r w:rsidR="007A351A" w:rsidRPr="003C4C93">
        <w:rPr>
          <w:rFonts w:ascii="Times New Roman" w:hAnsi="Times New Roman" w:cs="Times New Roman"/>
          <w:sz w:val="24"/>
          <w:szCs w:val="24"/>
        </w:rPr>
        <w:t>que constitui o acervo técnico para a habilitação da empresa no certame</w:t>
      </w:r>
      <w:r w:rsidR="003910E3" w:rsidRPr="003C4C93">
        <w:rPr>
          <w:rFonts w:ascii="Times New Roman" w:hAnsi="Times New Roman" w:cs="Times New Roman"/>
          <w:sz w:val="24"/>
          <w:szCs w:val="24"/>
        </w:rPr>
        <w:t>)</w:t>
      </w:r>
      <w:r w:rsidR="007A351A" w:rsidRPr="003C4C93">
        <w:rPr>
          <w:rFonts w:ascii="Times New Roman" w:hAnsi="Times New Roman" w:cs="Times New Roman"/>
          <w:sz w:val="24"/>
          <w:szCs w:val="24"/>
        </w:rPr>
        <w:t>,</w:t>
      </w:r>
      <w:r w:rsidRPr="003C4C93">
        <w:rPr>
          <w:rFonts w:ascii="Times New Roman" w:hAnsi="Times New Roman" w:cs="Times New Roman"/>
          <w:sz w:val="24"/>
          <w:szCs w:val="24"/>
        </w:rPr>
        <w:t xml:space="preserve"> com o fim de sanar eventual prejuízo à defesa,</w:t>
      </w:r>
      <w:r w:rsidR="007A351A" w:rsidRPr="003C4C93">
        <w:rPr>
          <w:rFonts w:ascii="Times New Roman" w:hAnsi="Times New Roman" w:cs="Times New Roman"/>
          <w:sz w:val="24"/>
          <w:szCs w:val="24"/>
        </w:rPr>
        <w:t xml:space="preserve"> o Prefeito deu provimento </w:t>
      </w:r>
      <w:r w:rsidR="003C4C93" w:rsidRPr="003C4C93">
        <w:rPr>
          <w:rFonts w:ascii="Times New Roman" w:hAnsi="Times New Roman" w:cs="Times New Roman"/>
          <w:sz w:val="24"/>
          <w:szCs w:val="24"/>
        </w:rPr>
        <w:t>a</w:t>
      </w:r>
      <w:r w:rsidR="007A351A" w:rsidRPr="003C4C93">
        <w:rPr>
          <w:rFonts w:ascii="Times New Roman" w:hAnsi="Times New Roman" w:cs="Times New Roman"/>
          <w:sz w:val="24"/>
          <w:szCs w:val="24"/>
        </w:rPr>
        <w:t>o recurso nos seguintes termos:</w:t>
      </w:r>
    </w:p>
    <w:p w:rsidR="007A351A" w:rsidRPr="003C4C93" w:rsidRDefault="007A351A" w:rsidP="00006499">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Diante do exposto, dou provimento ao presente recurso para:</w:t>
      </w:r>
    </w:p>
    <w:p w:rsidR="007A351A" w:rsidRPr="003C4C93" w:rsidRDefault="007A351A" w:rsidP="00006499">
      <w:pPr>
        <w:pStyle w:val="PargrafodaLista"/>
        <w:numPr>
          <w:ilvl w:val="0"/>
          <w:numId w:val="14"/>
        </w:numPr>
        <w:spacing w:after="0" w:line="240" w:lineRule="auto"/>
        <w:ind w:left="1701" w:firstLine="0"/>
        <w:contextualSpacing w:val="0"/>
        <w:jc w:val="both"/>
        <w:rPr>
          <w:rFonts w:ascii="Times New Roman" w:hAnsi="Times New Roman"/>
          <w:sz w:val="24"/>
          <w:szCs w:val="24"/>
        </w:rPr>
      </w:pPr>
      <w:r w:rsidRPr="003C4C93">
        <w:rPr>
          <w:rFonts w:ascii="Times New Roman" w:hAnsi="Times New Roman"/>
          <w:sz w:val="24"/>
          <w:szCs w:val="24"/>
        </w:rPr>
        <w:t>Declarar a nulidade da decisão administrativa recorrida, proferida em 28 de julho de 2023;</w:t>
      </w:r>
    </w:p>
    <w:p w:rsidR="003910E3" w:rsidRPr="003C4C93" w:rsidRDefault="007A351A" w:rsidP="00006499">
      <w:pPr>
        <w:pStyle w:val="PargrafodaLista"/>
        <w:numPr>
          <w:ilvl w:val="0"/>
          <w:numId w:val="14"/>
        </w:numPr>
        <w:autoSpaceDE w:val="0"/>
        <w:spacing w:after="0" w:line="240" w:lineRule="auto"/>
        <w:ind w:left="1701" w:firstLine="0"/>
        <w:contextualSpacing w:val="0"/>
        <w:jc w:val="both"/>
        <w:rPr>
          <w:rFonts w:ascii="Times New Roman" w:eastAsia="DejaVu Serif" w:hAnsi="Times New Roman"/>
          <w:sz w:val="24"/>
          <w:szCs w:val="24"/>
        </w:rPr>
      </w:pPr>
      <w:r w:rsidRPr="003C4C93">
        <w:rPr>
          <w:rFonts w:ascii="Times New Roman" w:hAnsi="Times New Roman"/>
          <w:sz w:val="24"/>
          <w:szCs w:val="24"/>
        </w:rPr>
        <w:t xml:space="preserve">Determinar o retorno dos autos à Comissão Processante para que promova a renovação da instrução processual a partir de 05/04/2023, nos seguintes termos: (i) deverá ser renovada a vistoria </w:t>
      </w:r>
      <w:r w:rsidRPr="003C4C93">
        <w:rPr>
          <w:rFonts w:ascii="Times New Roman" w:hAnsi="Times New Roman"/>
          <w:i/>
          <w:sz w:val="24"/>
          <w:szCs w:val="24"/>
        </w:rPr>
        <w:t>in loco</w:t>
      </w:r>
      <w:r w:rsidRPr="003C4C93">
        <w:rPr>
          <w:rFonts w:ascii="Times New Roman" w:hAnsi="Times New Roman"/>
          <w:sz w:val="24"/>
          <w:szCs w:val="24"/>
        </w:rPr>
        <w:t xml:space="preserve"> da obra objeto da Certidão de Acervo Técnico nº 743312 (fl. 23), notificando previamente a empresa para participar do ato, devendo ser elaborada ata do ato realizado, constando as observações da empresa processada e a conclusão da Comissão; (ii) no mesmo ato de notificação para participar da vistoria, deverá ser remetida cópia integral dos autos administrativos e notificada a empresa processada para que no prazo de 5 (cinco) dias úteis, manifeste-se sobre todos os documentos juntados nos autos e indique outras provas que eventualmente pretenda produzir, sob pena de preclusão; (iii) após realizada a vistoria e não havendo outras provas requeridas ou a serem produzidas, deverá ser aberto prazo para defesa final ou alegações finais; (iv) apresentadas ou não a defesa final ou as alegações finais, seja elaborado, se assim entender necessário a Comissão, novo relatório conclusivo considerando o resultado da vistoria realizada, remetendo-se os autos para a autoridade competente para proferir decisão.</w:t>
      </w:r>
    </w:p>
    <w:p w:rsidR="00006499" w:rsidRPr="003C4C93" w:rsidRDefault="00006499" w:rsidP="00006499">
      <w:pPr>
        <w:pStyle w:val="PargrafodaLista"/>
        <w:autoSpaceDE w:val="0"/>
        <w:spacing w:after="0" w:line="240" w:lineRule="auto"/>
        <w:ind w:left="1701"/>
        <w:contextualSpacing w:val="0"/>
        <w:jc w:val="both"/>
        <w:rPr>
          <w:rFonts w:ascii="Times New Roman" w:eastAsia="DejaVu Serif" w:hAnsi="Times New Roman"/>
          <w:sz w:val="24"/>
          <w:szCs w:val="24"/>
        </w:rPr>
      </w:pPr>
    </w:p>
    <w:p w:rsidR="007A351A" w:rsidRPr="003C4C93" w:rsidRDefault="003910E3"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 xml:space="preserve">Assim, </w:t>
      </w:r>
      <w:r w:rsidR="002C4CA2" w:rsidRPr="003C4C93">
        <w:rPr>
          <w:rFonts w:ascii="Times New Roman" w:eastAsia="DejaVu Serif" w:hAnsi="Times New Roman" w:cs="Times New Roman"/>
          <w:sz w:val="24"/>
          <w:szCs w:val="24"/>
        </w:rPr>
        <w:t>os autos retornaram à Comissão</w:t>
      </w:r>
      <w:r w:rsidRPr="003C4C93">
        <w:rPr>
          <w:rFonts w:ascii="Times New Roman" w:eastAsia="DejaVu Serif" w:hAnsi="Times New Roman" w:cs="Times New Roman"/>
          <w:sz w:val="24"/>
          <w:szCs w:val="24"/>
        </w:rPr>
        <w:t xml:space="preserve"> que em 20/09/2023 promoveu a intimação da empresa nos moldes da decisão do Prefeito, para acompanhar a vistoria da obra, para se manifestar de todos os documentos dos autos e requerer a produção das provas que entendesse pertinentes.</w:t>
      </w:r>
    </w:p>
    <w:p w:rsidR="003910E3" w:rsidRPr="003C4C93" w:rsidRDefault="00006499"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A empresa acompanhou a vistoria agendada e as manifestações foram registradas em ata, bem como, no prazo assinalado, manifestou-se e requereu a produção de prova testemunhal.</w:t>
      </w:r>
    </w:p>
    <w:p w:rsidR="00006499" w:rsidRPr="003C4C93" w:rsidRDefault="00006499"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A Comissão elaborou relatório (fls. 192-205) e requereu que a Administração notificasse o CAU para verificação da RRT</w:t>
      </w:r>
      <w:r w:rsidR="008F7D88" w:rsidRPr="003C4C93">
        <w:rPr>
          <w:rFonts w:ascii="Times New Roman" w:eastAsia="DejaVu Serif" w:hAnsi="Times New Roman" w:cs="Times New Roman"/>
          <w:sz w:val="24"/>
          <w:szCs w:val="24"/>
        </w:rPr>
        <w:t>/CAU nº 12008699 (</w:t>
      </w:r>
      <w:r w:rsidR="008F7D88" w:rsidRPr="003C4C93">
        <w:rPr>
          <w:rFonts w:ascii="Times New Roman" w:hAnsi="Times New Roman" w:cs="Times New Roman"/>
          <w:sz w:val="24"/>
          <w:szCs w:val="24"/>
        </w:rPr>
        <w:t xml:space="preserve">Certidão de Acervo Técnico nº 743312), </w:t>
      </w:r>
      <w:r w:rsidRPr="003C4C93">
        <w:rPr>
          <w:rFonts w:ascii="Times New Roman" w:eastAsia="DejaVu Serif" w:hAnsi="Times New Roman" w:cs="Times New Roman"/>
          <w:sz w:val="24"/>
          <w:szCs w:val="24"/>
        </w:rPr>
        <w:t>objeto deste processo administrativo, antes de se manifestar sobre a aplicação de penalidades.</w:t>
      </w:r>
    </w:p>
    <w:p w:rsidR="00006499" w:rsidRPr="003C4C93" w:rsidRDefault="00006499"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O CAU/SC foi contatado</w:t>
      </w:r>
      <w:r w:rsidR="008F7D88" w:rsidRPr="003C4C93">
        <w:rPr>
          <w:rFonts w:ascii="Times New Roman" w:eastAsia="DejaVu Serif" w:hAnsi="Times New Roman" w:cs="Times New Roman"/>
          <w:sz w:val="24"/>
          <w:szCs w:val="24"/>
        </w:rPr>
        <w:t xml:space="preserve"> e se manifestou</w:t>
      </w:r>
      <w:r w:rsidRPr="003C4C93">
        <w:rPr>
          <w:rFonts w:ascii="Times New Roman" w:eastAsia="DejaVu Serif" w:hAnsi="Times New Roman" w:cs="Times New Roman"/>
          <w:sz w:val="24"/>
          <w:szCs w:val="24"/>
        </w:rPr>
        <w:t xml:space="preserve"> nos termos do documento de fl. 207, afirmando que:</w:t>
      </w:r>
    </w:p>
    <w:p w:rsidR="00006499" w:rsidRPr="003C4C93" w:rsidRDefault="00006499" w:rsidP="00006499">
      <w:pPr>
        <w:suppressAutoHyphens w:val="0"/>
        <w:autoSpaceDE w:val="0"/>
        <w:spacing w:after="0" w:line="240" w:lineRule="auto"/>
        <w:ind w:left="1701"/>
        <w:jc w:val="both"/>
        <w:rPr>
          <w:rFonts w:ascii="Times New Roman" w:hAnsi="Times New Roman" w:cs="Times New Roman"/>
          <w:sz w:val="24"/>
          <w:szCs w:val="24"/>
          <w:lang w:eastAsia="pt-BR"/>
        </w:rPr>
      </w:pPr>
      <w:r w:rsidRPr="003C4C93">
        <w:rPr>
          <w:rFonts w:ascii="Times New Roman" w:hAnsi="Times New Roman" w:cs="Times New Roman"/>
          <w:b/>
          <w:sz w:val="24"/>
          <w:szCs w:val="24"/>
          <w:lang w:eastAsia="pt-BR"/>
        </w:rPr>
        <w:t xml:space="preserve">O </w:t>
      </w:r>
      <w:r w:rsidRPr="003C4C93">
        <w:rPr>
          <w:rFonts w:ascii="Times New Roman" w:hAnsi="Times New Roman" w:cs="Times New Roman"/>
          <w:b/>
          <w:sz w:val="24"/>
          <w:szCs w:val="24"/>
          <w:u w:val="single"/>
          <w:lang w:eastAsia="pt-BR"/>
        </w:rPr>
        <w:t>RRT simples</w:t>
      </w:r>
      <w:r w:rsidRPr="003C4C93">
        <w:rPr>
          <w:rFonts w:ascii="Times New Roman" w:hAnsi="Times New Roman" w:cs="Times New Roman"/>
          <w:b/>
          <w:sz w:val="24"/>
          <w:szCs w:val="24"/>
          <w:lang w:eastAsia="pt-BR"/>
        </w:rPr>
        <w:t xml:space="preserve"> é um documento autodeclaratório que não passa pela conferência do CAU quanto as informações relatadas.</w:t>
      </w:r>
      <w:r w:rsidRPr="003C4C93">
        <w:rPr>
          <w:rFonts w:ascii="Times New Roman" w:hAnsi="Times New Roman" w:cs="Times New Roman"/>
          <w:sz w:val="24"/>
          <w:szCs w:val="24"/>
          <w:lang w:eastAsia="pt-BR"/>
        </w:rPr>
        <w:t xml:space="preserve"> Com base no RRT emitido o profissional pode solicitar no sistema uma CAT simples, que é emitida com base no RRT preenchido. Para licitações o ideal é que seja apresentada a CAT com atestado técnico, esse tipo de CAT é analisada pelo CAU, onde são solicitados documentos comprobatórios da efetiva realização daquele serviço. </w:t>
      </w:r>
      <w:r w:rsidRPr="003C4C93">
        <w:rPr>
          <w:rFonts w:ascii="Times New Roman" w:hAnsi="Times New Roman" w:cs="Times New Roman"/>
          <w:b/>
          <w:sz w:val="24"/>
          <w:szCs w:val="24"/>
          <w:lang w:eastAsia="pt-BR"/>
        </w:rPr>
        <w:t>Pelo que verificamos no sistema a profissional tentou emitir a CAT com atestado desse RRT, porém, foram encontradas divergências nos documentos anexados e solicitado esclarecimentos e correções, porém, a mesma não deu retorno ao conselho.</w:t>
      </w:r>
      <w:r w:rsidRPr="003C4C93">
        <w:rPr>
          <w:rFonts w:ascii="Times New Roman" w:hAnsi="Times New Roman" w:cs="Times New Roman"/>
          <w:sz w:val="24"/>
          <w:szCs w:val="24"/>
          <w:lang w:eastAsia="pt-BR"/>
        </w:rPr>
        <w:t xml:space="preserve"> Não conseguindo emitir a CAT com atestado, a profissional emitiu esta CAT simples que foi apresentada para licitação. O documento (CAT – Certidão de Acervo Técnico) é verídico emitido pelo sistema, porém, </w:t>
      </w:r>
      <w:r w:rsidRPr="003C4C93">
        <w:rPr>
          <w:rFonts w:ascii="Times New Roman" w:hAnsi="Times New Roman" w:cs="Times New Roman"/>
          <w:b/>
          <w:sz w:val="24"/>
          <w:szCs w:val="24"/>
          <w:lang w:eastAsia="pt-BR"/>
        </w:rPr>
        <w:t>como informado ela é emitida com base num documento autodeclaratório não sendo indicado o uso para comprovações em licitação cujo documento ideal é a CAT-A</w:t>
      </w:r>
      <w:r w:rsidRPr="003C4C93">
        <w:rPr>
          <w:rFonts w:ascii="Times New Roman" w:hAnsi="Times New Roman" w:cs="Times New Roman"/>
          <w:sz w:val="24"/>
          <w:szCs w:val="24"/>
          <w:lang w:eastAsia="pt-BR"/>
        </w:rPr>
        <w:t xml:space="preserve"> (Certidão de Acervo Técnico com Atestado).</w:t>
      </w:r>
      <w:r w:rsidR="008F7D88" w:rsidRPr="003C4C93">
        <w:rPr>
          <w:rFonts w:ascii="Times New Roman" w:hAnsi="Times New Roman" w:cs="Times New Roman"/>
          <w:sz w:val="24"/>
          <w:szCs w:val="24"/>
          <w:lang w:eastAsia="pt-BR"/>
        </w:rPr>
        <w:t xml:space="preserve"> (grifamos)</w:t>
      </w:r>
    </w:p>
    <w:p w:rsidR="00463F38" w:rsidRPr="003C4C93" w:rsidRDefault="00463F38" w:rsidP="00463F38">
      <w:pPr>
        <w:suppressAutoHyphens w:val="0"/>
        <w:autoSpaceDE w:val="0"/>
        <w:spacing w:after="0" w:line="240" w:lineRule="auto"/>
        <w:jc w:val="both"/>
        <w:rPr>
          <w:rFonts w:ascii="Times New Roman" w:hAnsi="Times New Roman" w:cs="Times New Roman"/>
          <w:sz w:val="20"/>
          <w:szCs w:val="20"/>
          <w:lang w:eastAsia="pt-BR"/>
        </w:rPr>
      </w:pPr>
    </w:p>
    <w:p w:rsidR="00463F38" w:rsidRPr="003C4C93" w:rsidRDefault="00463F38" w:rsidP="00967227">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hAnsi="Times New Roman" w:cs="Times New Roman"/>
          <w:sz w:val="24"/>
          <w:szCs w:val="24"/>
          <w:lang w:eastAsia="pt-BR"/>
        </w:rPr>
        <w:t>Em seguida, a Comissão deliberou sobre a prova testemunhal requerida, indeferindo a oitiva do sócio administrador da empresa e deferindo a oitiva das demais testemunhas arroladas.</w:t>
      </w:r>
    </w:p>
    <w:p w:rsidR="00967227" w:rsidRPr="003C4C93" w:rsidRDefault="00967227" w:rsidP="00967227">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Na data aprazada foi ouvida a testemunha Rosimeri Fátima Spazini, arquiteta que presta serviços para a empresa</w:t>
      </w:r>
      <w:r w:rsidR="008F7D88" w:rsidRPr="003C4C93">
        <w:rPr>
          <w:rFonts w:ascii="Times New Roman" w:eastAsia="DejaVu Serif" w:hAnsi="Times New Roman" w:cs="Times New Roman"/>
          <w:sz w:val="24"/>
          <w:szCs w:val="24"/>
        </w:rPr>
        <w:t xml:space="preserve"> processada</w:t>
      </w:r>
      <w:r w:rsidRPr="003C4C93">
        <w:rPr>
          <w:rFonts w:ascii="Times New Roman" w:eastAsia="DejaVu Serif" w:hAnsi="Times New Roman" w:cs="Times New Roman"/>
          <w:sz w:val="24"/>
          <w:szCs w:val="24"/>
        </w:rPr>
        <w:t xml:space="preserve"> e </w:t>
      </w:r>
      <w:r w:rsidR="008F7D88" w:rsidRPr="003C4C93">
        <w:rPr>
          <w:rFonts w:ascii="Times New Roman" w:eastAsia="DejaVu Serif" w:hAnsi="Times New Roman" w:cs="Times New Roman"/>
          <w:sz w:val="24"/>
          <w:szCs w:val="24"/>
        </w:rPr>
        <w:t xml:space="preserve">que </w:t>
      </w:r>
      <w:r w:rsidRPr="003C4C93">
        <w:rPr>
          <w:rFonts w:ascii="Times New Roman" w:eastAsia="DejaVu Serif" w:hAnsi="Times New Roman" w:cs="Times New Roman"/>
          <w:sz w:val="24"/>
          <w:szCs w:val="24"/>
        </w:rPr>
        <w:t>emitiu a RRT 12008699 em questão, tendo sido requerida a desistência da oitiva da testemunha Ivanildo Rodrigues de Oliveira, proprietário da obra a que se refere a citada RRT.</w:t>
      </w:r>
    </w:p>
    <w:p w:rsidR="007A351A" w:rsidRPr="003C4C93" w:rsidRDefault="007D3BA3"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Encerrada a instrução, a empresa foi notificada para apresentação de defesa final, que foi apresentada tempestivamente às fls. 224-235.</w:t>
      </w:r>
    </w:p>
    <w:p w:rsidR="00593A06" w:rsidRPr="003C4C93" w:rsidRDefault="00593A06"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Foi e</w:t>
      </w:r>
      <w:r w:rsidR="007D3BA3" w:rsidRPr="003C4C93">
        <w:rPr>
          <w:rFonts w:ascii="Times New Roman" w:eastAsia="DejaVu Serif" w:hAnsi="Times New Roman" w:cs="Times New Roman"/>
          <w:sz w:val="24"/>
          <w:szCs w:val="24"/>
        </w:rPr>
        <w:t xml:space="preserve">laborado o Relatório Final pela Comissão </w:t>
      </w:r>
      <w:r w:rsidR="00C161A9" w:rsidRPr="003C4C93">
        <w:rPr>
          <w:rFonts w:ascii="Times New Roman" w:eastAsia="DejaVu Serif" w:hAnsi="Times New Roman" w:cs="Times New Roman"/>
          <w:sz w:val="24"/>
          <w:szCs w:val="24"/>
        </w:rPr>
        <w:t>Processante (fls. 236-259),</w:t>
      </w:r>
      <w:r w:rsidRPr="003C4C93">
        <w:rPr>
          <w:rFonts w:ascii="Times New Roman" w:eastAsia="DejaVu Serif" w:hAnsi="Times New Roman" w:cs="Times New Roman"/>
          <w:sz w:val="24"/>
          <w:szCs w:val="24"/>
        </w:rPr>
        <w:t xml:space="preserve"> que concluiu:</w:t>
      </w:r>
      <w:r w:rsidR="003059CC" w:rsidRPr="003C4C93">
        <w:rPr>
          <w:rFonts w:ascii="Times New Roman" w:eastAsia="DejaVu Serif" w:hAnsi="Times New Roman" w:cs="Times New Roman"/>
          <w:sz w:val="24"/>
          <w:szCs w:val="24"/>
        </w:rPr>
        <w:t xml:space="preserve"> </w:t>
      </w:r>
    </w:p>
    <w:p w:rsidR="002B3A89" w:rsidRPr="003C4C93" w:rsidRDefault="002B3A89" w:rsidP="003059CC">
      <w:pPr>
        <w:ind w:left="1701"/>
        <w:jc w:val="both"/>
        <w:rPr>
          <w:rFonts w:ascii="Times New Roman" w:hAnsi="Times New Roman" w:cs="Times New Roman"/>
          <w:sz w:val="24"/>
          <w:szCs w:val="24"/>
        </w:rPr>
      </w:pPr>
      <w:r w:rsidRPr="003C4C93">
        <w:rPr>
          <w:rFonts w:ascii="Times New Roman" w:hAnsi="Times New Roman" w:cs="Times New Roman"/>
          <w:sz w:val="24"/>
          <w:szCs w:val="24"/>
        </w:rPr>
        <w:t>Pelos fatos acima expostos e diante do conjunto probatório analisado, a Comissão do Processo Administrativo 001/2023 conclui que as informações contidas na documentação apresentada para comprovação do acervo técnico, mais especificamente que a RRT descrita no</w:t>
      </w:r>
      <w:r w:rsidRPr="003C4C93">
        <w:rPr>
          <w:rFonts w:ascii="Times New Roman" w:hAnsi="Times New Roman" w:cs="Times New Roman"/>
          <w:sz w:val="24"/>
          <w:szCs w:val="24"/>
        </w:rPr>
        <w:br/>
        <w:t>processo administrativo é um documento verídico, todavia a comissão não concorda com o preenchimento do corpo do documento e também como apresentado pelo CAU/SC houve divergências quanto as informações contidas no documento. A defesa apresenta argumentação</w:t>
      </w:r>
      <w:r w:rsidRPr="003C4C93">
        <w:rPr>
          <w:rFonts w:ascii="Times New Roman" w:hAnsi="Times New Roman" w:cs="Times New Roman"/>
          <w:sz w:val="24"/>
          <w:szCs w:val="24"/>
        </w:rPr>
        <w:br/>
        <w:t>explicando a metodologia da profissional, onde os quantitativos descritos na RRT são aplicados de forma genérica sobre o objeto e também apresenta ARTS em nome do município onde os</w:t>
      </w:r>
      <w:r w:rsidRPr="003C4C93">
        <w:rPr>
          <w:rFonts w:ascii="Times New Roman" w:hAnsi="Times New Roman" w:cs="Times New Roman"/>
          <w:sz w:val="24"/>
          <w:szCs w:val="24"/>
        </w:rPr>
        <w:br/>
        <w:t>quantitativos são aplicados da mesma forma genérica, porém sempre obedecendo a área total do objeto. A comissão apesar de não concordar, entende a forma genérica de quantificação dos</w:t>
      </w:r>
      <w:r w:rsidRPr="003C4C93">
        <w:rPr>
          <w:rFonts w:ascii="Times New Roman" w:hAnsi="Times New Roman" w:cs="Times New Roman"/>
          <w:sz w:val="24"/>
          <w:szCs w:val="24"/>
        </w:rPr>
        <w:br/>
        <w:t>serviços listados na RRT, porém estes devem estar pontuados sobre a área total do objeto, no caso o documento apresentado extrapola significativamente a área total do objeto que é de 220,30m², e os serviços listados na RRT são todos na ordem de 560,00 m², também é notório serviços listados que não condizem com a edificação implantada. Portando fica claro para a comissão que o documento apresentado para comprovação de acervo técnico tem informações em divergência</w:t>
      </w:r>
      <w:r w:rsidRPr="003C4C93">
        <w:rPr>
          <w:rFonts w:ascii="Times New Roman" w:hAnsi="Times New Roman" w:cs="Times New Roman"/>
          <w:sz w:val="24"/>
          <w:szCs w:val="24"/>
        </w:rPr>
        <w:br/>
        <w:t xml:space="preserve">com o real executado e essas informações podem ter favorecido a classificação da empresa no processo licitatório. Desse modo a comissão sugere: </w:t>
      </w:r>
    </w:p>
    <w:p w:rsidR="002B3A89" w:rsidRPr="003C4C93" w:rsidRDefault="002B3A89" w:rsidP="003059CC">
      <w:pPr>
        <w:ind w:left="1701"/>
        <w:jc w:val="both"/>
        <w:rPr>
          <w:rFonts w:ascii="Times New Roman" w:hAnsi="Times New Roman" w:cs="Times New Roman"/>
          <w:sz w:val="24"/>
          <w:szCs w:val="24"/>
        </w:rPr>
      </w:pPr>
      <w:r w:rsidRPr="003C4C93">
        <w:rPr>
          <w:rFonts w:ascii="Times New Roman" w:hAnsi="Times New Roman" w:cs="Times New Roman"/>
          <w:sz w:val="24"/>
          <w:szCs w:val="24"/>
        </w:rPr>
        <w:t>a) A nulidade dos contratos com a administração municipal.</w:t>
      </w:r>
      <w:r w:rsidRPr="003C4C93">
        <w:rPr>
          <w:rFonts w:ascii="Times New Roman" w:hAnsi="Times New Roman" w:cs="Times New Roman"/>
          <w:sz w:val="24"/>
          <w:szCs w:val="24"/>
        </w:rPr>
        <w:br/>
        <w:t>b) A quitação dos serviços executados pelo contratado conforme planilha em anexo que totaliza R$ 39.488,94. Como a medição é da data de 13/03/2023 é sugerida que seja aplicada a correção monetária do valor para a data atual aplicando como índice a taxa SELIC, chegando ao montante final de R$ 43.351,81.</w:t>
      </w:r>
    </w:p>
    <w:p w:rsidR="002B3A89" w:rsidRPr="003C4C93" w:rsidRDefault="002B3A89" w:rsidP="003059CC">
      <w:pPr>
        <w:ind w:left="1701"/>
        <w:jc w:val="both"/>
        <w:rPr>
          <w:rFonts w:ascii="Times New Roman" w:hAnsi="Times New Roman" w:cs="Times New Roman"/>
          <w:sz w:val="24"/>
          <w:szCs w:val="24"/>
        </w:rPr>
      </w:pPr>
      <w:r w:rsidRPr="003C4C93">
        <w:rPr>
          <w:rFonts w:ascii="Times New Roman" w:hAnsi="Times New Roman" w:cs="Times New Roman"/>
          <w:sz w:val="24"/>
          <w:szCs w:val="24"/>
        </w:rPr>
        <w:t>c) Aplicação de multa correspondente a 7,22% sobre os serviços não executados. Esse percentual corresponde a diferença entre a planilha base (R$ 554.462,50) do processo licitatório e a planilha atualizada para ser lançada em nova licitação (R$594.564,60), conforme planilha em anexo. Como a proposta vencedora da empresa foi de R$</w:t>
      </w:r>
      <w:r w:rsidRPr="003C4C93">
        <w:rPr>
          <w:rFonts w:ascii="Times New Roman" w:hAnsi="Times New Roman" w:cs="Times New Roman"/>
          <w:sz w:val="24"/>
          <w:szCs w:val="24"/>
        </w:rPr>
        <w:br/>
        <w:t>512.917,00 e desse total foram executados R$ 39.488,94, resta a diferença de R$473.428,06, aplicando a correção de 7,22% sobre esse valor, conforme justificado anteriormente, tem-se o valor total de multa a ser aplicado de R$ 34.181,50.</w:t>
      </w:r>
    </w:p>
    <w:p w:rsidR="007D3BA3" w:rsidRPr="003C4C93" w:rsidRDefault="00593A06"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Na sequência, ascenderam</w:t>
      </w:r>
      <w:r w:rsidR="00C161A9" w:rsidRPr="003C4C93">
        <w:rPr>
          <w:rFonts w:ascii="Times New Roman" w:eastAsia="DejaVu Serif" w:hAnsi="Times New Roman" w:cs="Times New Roman"/>
          <w:sz w:val="24"/>
          <w:szCs w:val="24"/>
        </w:rPr>
        <w:t xml:space="preserve"> os autos para decisão.</w:t>
      </w:r>
    </w:p>
    <w:p w:rsidR="00A54B67" w:rsidRPr="003C4C93" w:rsidRDefault="00A54B67" w:rsidP="00431329">
      <w:pPr>
        <w:suppressAutoHyphens w:val="0"/>
        <w:autoSpaceDE w:val="0"/>
        <w:spacing w:after="240" w:line="360" w:lineRule="auto"/>
        <w:jc w:val="both"/>
        <w:rPr>
          <w:rFonts w:ascii="Times New Roman" w:eastAsia="DejaVu Serif" w:hAnsi="Times New Roman" w:cs="Times New Roman"/>
          <w:sz w:val="24"/>
          <w:szCs w:val="24"/>
        </w:rPr>
      </w:pPr>
      <w:r w:rsidRPr="003C4C93">
        <w:rPr>
          <w:rFonts w:ascii="Times New Roman" w:eastAsia="DejaVu Serif" w:hAnsi="Times New Roman" w:cs="Times New Roman"/>
          <w:sz w:val="24"/>
          <w:szCs w:val="24"/>
        </w:rPr>
        <w:t>É a breve síntese</w:t>
      </w:r>
      <w:r w:rsidR="002B38E0" w:rsidRPr="003C4C93">
        <w:rPr>
          <w:rFonts w:ascii="Times New Roman" w:eastAsia="DejaVu Serif" w:hAnsi="Times New Roman" w:cs="Times New Roman"/>
          <w:sz w:val="24"/>
          <w:szCs w:val="24"/>
        </w:rPr>
        <w:t xml:space="preserve"> do processo</w:t>
      </w:r>
      <w:r w:rsidRPr="003C4C93">
        <w:rPr>
          <w:rFonts w:ascii="Times New Roman" w:eastAsia="DejaVu Serif" w:hAnsi="Times New Roman" w:cs="Times New Roman"/>
          <w:sz w:val="24"/>
          <w:szCs w:val="24"/>
        </w:rPr>
        <w:t xml:space="preserve">. </w:t>
      </w:r>
    </w:p>
    <w:p w:rsidR="00A54B67" w:rsidRPr="003C4C93" w:rsidRDefault="0068608E" w:rsidP="00431329">
      <w:pPr>
        <w:suppressAutoHyphens w:val="0"/>
        <w:autoSpaceDE w:val="0"/>
        <w:spacing w:after="240" w:line="360" w:lineRule="auto"/>
        <w:jc w:val="both"/>
        <w:rPr>
          <w:rFonts w:ascii="Times New Roman" w:eastAsia="DejaVu Serif" w:hAnsi="Times New Roman" w:cs="Times New Roman"/>
          <w:b/>
          <w:sz w:val="24"/>
          <w:szCs w:val="24"/>
        </w:rPr>
      </w:pPr>
      <w:r w:rsidRPr="003C4C93">
        <w:rPr>
          <w:rFonts w:ascii="Times New Roman" w:eastAsia="DejaVu Serif" w:hAnsi="Times New Roman" w:cs="Times New Roman"/>
          <w:b/>
          <w:sz w:val="24"/>
          <w:szCs w:val="24"/>
        </w:rPr>
        <w:t>FUNDAMENTAÇÃO</w:t>
      </w:r>
    </w:p>
    <w:p w:rsidR="002857DD" w:rsidRPr="003C4C93" w:rsidRDefault="00506783"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O presen</w:t>
      </w:r>
      <w:r w:rsidR="003C4C93">
        <w:rPr>
          <w:rFonts w:ascii="Times New Roman" w:hAnsi="Times New Roman" w:cs="Times New Roman"/>
          <w:sz w:val="24"/>
          <w:szCs w:val="24"/>
        </w:rPr>
        <w:t>te processo administrativo visa</w:t>
      </w:r>
      <w:r w:rsidRPr="003C4C93">
        <w:rPr>
          <w:rFonts w:ascii="Times New Roman" w:hAnsi="Times New Roman" w:cs="Times New Roman"/>
          <w:sz w:val="24"/>
          <w:szCs w:val="24"/>
        </w:rPr>
        <w:t xml:space="preserve"> apurar </w:t>
      </w:r>
      <w:r w:rsidR="00B732CA" w:rsidRPr="003C4C93">
        <w:rPr>
          <w:rFonts w:ascii="Times New Roman" w:hAnsi="Times New Roman" w:cs="Times New Roman"/>
          <w:sz w:val="24"/>
          <w:szCs w:val="24"/>
        </w:rPr>
        <w:t xml:space="preserve">irregularidade nos documentos de habilitação </w:t>
      </w:r>
      <w:r w:rsidR="00B12243" w:rsidRPr="003C4C93">
        <w:rPr>
          <w:rFonts w:ascii="Times New Roman" w:hAnsi="Times New Roman" w:cs="Times New Roman"/>
          <w:sz w:val="24"/>
          <w:szCs w:val="24"/>
        </w:rPr>
        <w:t>apresentados pela</w:t>
      </w:r>
      <w:r w:rsidR="00B732CA" w:rsidRPr="003C4C93">
        <w:rPr>
          <w:rFonts w:ascii="Times New Roman" w:hAnsi="Times New Roman" w:cs="Times New Roman"/>
          <w:sz w:val="24"/>
          <w:szCs w:val="24"/>
        </w:rPr>
        <w:t xml:space="preserve"> contratada no processo licitatório</w:t>
      </w:r>
      <w:r w:rsidR="00F337CC" w:rsidRPr="003C4C93">
        <w:rPr>
          <w:rFonts w:ascii="Times New Roman" w:hAnsi="Times New Roman" w:cs="Times New Roman"/>
          <w:sz w:val="24"/>
          <w:szCs w:val="24"/>
        </w:rPr>
        <w:t xml:space="preserve"> Tomada de Preço nº 0009/2022</w:t>
      </w:r>
      <w:r w:rsidR="00B732CA" w:rsidRPr="003C4C93">
        <w:rPr>
          <w:rFonts w:ascii="Times New Roman" w:hAnsi="Times New Roman" w:cs="Times New Roman"/>
          <w:sz w:val="24"/>
          <w:szCs w:val="24"/>
        </w:rPr>
        <w:t>, especialmente indícios de falsidade do conteúdo de atestado de capacidade técnica e</w:t>
      </w:r>
      <w:r w:rsidR="002857DD" w:rsidRPr="003C4C93">
        <w:rPr>
          <w:rFonts w:ascii="Times New Roman" w:hAnsi="Times New Roman" w:cs="Times New Roman"/>
          <w:sz w:val="24"/>
          <w:szCs w:val="24"/>
        </w:rPr>
        <w:t xml:space="preserve"> de </w:t>
      </w:r>
      <w:r w:rsidR="00B12243" w:rsidRPr="003C4C93">
        <w:rPr>
          <w:rFonts w:ascii="Times New Roman" w:hAnsi="Times New Roman" w:cs="Times New Roman"/>
          <w:sz w:val="24"/>
          <w:szCs w:val="24"/>
        </w:rPr>
        <w:t>certidão de acervo t</w:t>
      </w:r>
      <w:r w:rsidR="005C1324" w:rsidRPr="003C4C93">
        <w:rPr>
          <w:rFonts w:ascii="Times New Roman" w:hAnsi="Times New Roman" w:cs="Times New Roman"/>
          <w:sz w:val="24"/>
          <w:szCs w:val="24"/>
        </w:rPr>
        <w:t>écnico</w:t>
      </w:r>
      <w:r w:rsidR="00F337CC" w:rsidRPr="003C4C93">
        <w:rPr>
          <w:rFonts w:ascii="Times New Roman" w:hAnsi="Times New Roman" w:cs="Times New Roman"/>
          <w:sz w:val="24"/>
          <w:szCs w:val="24"/>
        </w:rPr>
        <w:t xml:space="preserve"> correlatos,</w:t>
      </w:r>
      <w:r w:rsidR="002857DD" w:rsidRPr="003C4C93">
        <w:rPr>
          <w:rFonts w:ascii="Times New Roman" w:hAnsi="Times New Roman" w:cs="Times New Roman"/>
          <w:sz w:val="24"/>
          <w:szCs w:val="24"/>
        </w:rPr>
        <w:t xml:space="preserve"> apresentados pela empresa para comprovar capacidade técnico-administrativa e técnico-operacional</w:t>
      </w:r>
      <w:r w:rsidR="00F337CC" w:rsidRPr="003C4C93">
        <w:rPr>
          <w:rFonts w:ascii="Times New Roman" w:hAnsi="Times New Roman" w:cs="Times New Roman"/>
          <w:sz w:val="24"/>
          <w:szCs w:val="24"/>
        </w:rPr>
        <w:t xml:space="preserve"> (fls. 21 a 25</w:t>
      </w:r>
      <w:r w:rsidR="00E7026E" w:rsidRPr="003C4C93">
        <w:rPr>
          <w:rFonts w:ascii="Times New Roman" w:hAnsi="Times New Roman" w:cs="Times New Roman"/>
          <w:sz w:val="24"/>
          <w:szCs w:val="24"/>
        </w:rPr>
        <w:t>)</w:t>
      </w:r>
      <w:r w:rsidR="002857DD" w:rsidRPr="003C4C93">
        <w:rPr>
          <w:rFonts w:ascii="Times New Roman" w:hAnsi="Times New Roman" w:cs="Times New Roman"/>
          <w:sz w:val="24"/>
          <w:szCs w:val="24"/>
        </w:rPr>
        <w:t>.</w:t>
      </w:r>
    </w:p>
    <w:p w:rsidR="002857DD" w:rsidRPr="003C4C93" w:rsidRDefault="00CA5864"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O Edital </w:t>
      </w:r>
      <w:r w:rsidR="00B12243" w:rsidRPr="003C4C93">
        <w:rPr>
          <w:rFonts w:ascii="Times New Roman" w:hAnsi="Times New Roman" w:cs="Times New Roman"/>
          <w:sz w:val="24"/>
          <w:szCs w:val="24"/>
        </w:rPr>
        <w:t>de Tomada de Preço nº 0009/2022</w:t>
      </w:r>
      <w:r w:rsidRPr="003C4C93">
        <w:rPr>
          <w:rFonts w:ascii="Times New Roman" w:hAnsi="Times New Roman" w:cs="Times New Roman"/>
          <w:sz w:val="24"/>
          <w:szCs w:val="24"/>
        </w:rPr>
        <w:t xml:space="preserve"> tinha como objeto </w:t>
      </w:r>
      <w:r w:rsidR="003C4C93">
        <w:rPr>
          <w:rFonts w:ascii="Times New Roman" w:hAnsi="Times New Roman" w:cs="Times New Roman"/>
          <w:sz w:val="24"/>
          <w:szCs w:val="24"/>
        </w:rPr>
        <w:t xml:space="preserve">a </w:t>
      </w:r>
      <w:r w:rsidRPr="003C4C93">
        <w:rPr>
          <w:rFonts w:ascii="Times New Roman" w:hAnsi="Times New Roman" w:cs="Times New Roman"/>
          <w:sz w:val="24"/>
          <w:szCs w:val="24"/>
        </w:rPr>
        <w:t xml:space="preserve">execução de projeto de reforma da casa e da cancha de bocha do Estádio Municipal Oracy Bucco, </w:t>
      </w:r>
      <w:r w:rsidR="00D62C91" w:rsidRPr="003C4C93">
        <w:rPr>
          <w:rFonts w:ascii="Times New Roman" w:hAnsi="Times New Roman" w:cs="Times New Roman"/>
          <w:sz w:val="24"/>
          <w:szCs w:val="24"/>
        </w:rPr>
        <w:t>com área total de 564,84m², conforme plantas e demais documentos anexos ao Edital.</w:t>
      </w:r>
    </w:p>
    <w:p w:rsidR="00D62C91" w:rsidRPr="003C4C93" w:rsidRDefault="00D62C91"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Exigia o referido Edital, para a habilitação dos licitantes, a comprovação de capacidade técnica</w:t>
      </w:r>
      <w:r w:rsidR="00156FE0" w:rsidRPr="003C4C93">
        <w:rPr>
          <w:rFonts w:ascii="Times New Roman" w:hAnsi="Times New Roman" w:cs="Times New Roman"/>
          <w:sz w:val="24"/>
          <w:szCs w:val="24"/>
        </w:rPr>
        <w:t xml:space="preserve"> administrativa e operacional, mediante a apresentação de atestado de capacidade técnica e de acervo técnico do profissional responsável que demonstrassem a prévia execução de obra de reforma com área igual ou superior à licitada, nos seguintes termos:</w:t>
      </w:r>
    </w:p>
    <w:p w:rsidR="00156FE0" w:rsidRPr="003C4C93" w:rsidRDefault="00156FE0"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6.1.4 - Em anexo aos documentos de habilitação do presente processo licitatório deverão ser encaminhados:</w:t>
      </w:r>
    </w:p>
    <w:p w:rsidR="00156FE0" w:rsidRPr="003C4C93" w:rsidRDefault="00156FE0"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w:t>
      </w:r>
    </w:p>
    <w:p w:rsidR="00156FE0" w:rsidRPr="003C4C93" w:rsidRDefault="00156FE0"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e) Atestado de capacidade técnica por execução de obra do objeto desta licitação e </w:t>
      </w:r>
      <w:r w:rsidRPr="003C4C93">
        <w:rPr>
          <w:rFonts w:ascii="Times New Roman" w:hAnsi="Times New Roman" w:cs="Times New Roman"/>
          <w:sz w:val="24"/>
          <w:szCs w:val="24"/>
          <w:u w:val="single"/>
        </w:rPr>
        <w:t>quantidade igual ou superior</w:t>
      </w:r>
      <w:r w:rsidRPr="003C4C93">
        <w:rPr>
          <w:rFonts w:ascii="Times New Roman" w:hAnsi="Times New Roman" w:cs="Times New Roman"/>
          <w:sz w:val="24"/>
          <w:szCs w:val="24"/>
        </w:rPr>
        <w:t>, fornecido por pessoa jurídica de direito público ou privado e expedido em nome de responsável técnico indicado pela licitante, devidamente acompanhado da competente Certidão de Acervo Técnico a que estiver vinculado;</w:t>
      </w:r>
      <w:r w:rsidR="00F337CC" w:rsidRPr="003C4C93">
        <w:rPr>
          <w:rFonts w:ascii="Times New Roman" w:hAnsi="Times New Roman" w:cs="Times New Roman"/>
          <w:sz w:val="24"/>
          <w:szCs w:val="24"/>
        </w:rPr>
        <w:t xml:space="preserve"> (grifamos)</w:t>
      </w:r>
    </w:p>
    <w:p w:rsidR="009D6CA5" w:rsidRPr="003C4C93" w:rsidRDefault="009D6CA5" w:rsidP="00156FE0">
      <w:pPr>
        <w:spacing w:after="0" w:line="360" w:lineRule="auto"/>
        <w:ind w:left="1701"/>
        <w:jc w:val="both"/>
        <w:rPr>
          <w:rFonts w:ascii="Times New Roman" w:hAnsi="Times New Roman" w:cs="Times New Roman"/>
          <w:sz w:val="20"/>
          <w:szCs w:val="20"/>
        </w:rPr>
      </w:pPr>
    </w:p>
    <w:p w:rsidR="009D6CA5" w:rsidRPr="003C4C93" w:rsidRDefault="009D6CA5"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Isso posto, a contratada teve a sua habilitação deferida com fundamento nos citados documentos que</w:t>
      </w:r>
      <w:r w:rsidR="00F337CC" w:rsidRPr="003C4C93">
        <w:rPr>
          <w:rFonts w:ascii="Times New Roman" w:hAnsi="Times New Roman" w:cs="Times New Roman"/>
          <w:sz w:val="24"/>
          <w:szCs w:val="24"/>
        </w:rPr>
        <w:t>,</w:t>
      </w:r>
      <w:r w:rsidRPr="003C4C93">
        <w:rPr>
          <w:rFonts w:ascii="Times New Roman" w:hAnsi="Times New Roman" w:cs="Times New Roman"/>
          <w:sz w:val="24"/>
          <w:szCs w:val="24"/>
        </w:rPr>
        <w:t xml:space="preserve"> em tese</w:t>
      </w:r>
      <w:r w:rsidR="00F337CC" w:rsidRPr="003C4C93">
        <w:rPr>
          <w:rFonts w:ascii="Times New Roman" w:hAnsi="Times New Roman" w:cs="Times New Roman"/>
          <w:sz w:val="24"/>
          <w:szCs w:val="24"/>
        </w:rPr>
        <w:t>,</w:t>
      </w:r>
      <w:r w:rsidRPr="003C4C93">
        <w:rPr>
          <w:rFonts w:ascii="Times New Roman" w:hAnsi="Times New Roman" w:cs="Times New Roman"/>
          <w:sz w:val="24"/>
          <w:szCs w:val="24"/>
        </w:rPr>
        <w:t xml:space="preserve"> comprovariam as capacidades administrativa</w:t>
      </w:r>
      <w:r w:rsidR="00F337CC" w:rsidRPr="003C4C93">
        <w:rPr>
          <w:rFonts w:ascii="Times New Roman" w:hAnsi="Times New Roman" w:cs="Times New Roman"/>
          <w:sz w:val="24"/>
          <w:szCs w:val="24"/>
        </w:rPr>
        <w:t xml:space="preserve"> e operacional mínimas exigidas, visto que tanto o atestado de capacidade técnica, quanto a Certidão de Acervo Técnico, indicariam experiência prévia na execução de uma obra de reforma com área total de 560 m².</w:t>
      </w:r>
    </w:p>
    <w:p w:rsidR="00156FE0" w:rsidRPr="003C4C93" w:rsidRDefault="005C1324"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Os indícios de falsidade do conteúdo dos referidos documentos decorrem </w:t>
      </w:r>
      <w:r w:rsidR="00B12243" w:rsidRPr="003C4C93">
        <w:rPr>
          <w:rFonts w:ascii="Times New Roman" w:hAnsi="Times New Roman" w:cs="Times New Roman"/>
          <w:sz w:val="24"/>
          <w:szCs w:val="24"/>
        </w:rPr>
        <w:t>da constatação</w:t>
      </w:r>
      <w:r w:rsidR="003C4C93">
        <w:rPr>
          <w:rFonts w:ascii="Times New Roman" w:hAnsi="Times New Roman" w:cs="Times New Roman"/>
          <w:sz w:val="24"/>
          <w:szCs w:val="24"/>
        </w:rPr>
        <w:t>, posterior,</w:t>
      </w:r>
      <w:r w:rsidR="00B12243" w:rsidRPr="003C4C93">
        <w:rPr>
          <w:rFonts w:ascii="Times New Roman" w:hAnsi="Times New Roman" w:cs="Times New Roman"/>
          <w:sz w:val="24"/>
          <w:szCs w:val="24"/>
        </w:rPr>
        <w:t xml:space="preserve"> de que</w:t>
      </w:r>
      <w:r w:rsidRPr="003C4C93">
        <w:rPr>
          <w:rFonts w:ascii="Times New Roman" w:hAnsi="Times New Roman" w:cs="Times New Roman"/>
          <w:sz w:val="24"/>
          <w:szCs w:val="24"/>
        </w:rPr>
        <w:t xml:space="preserve"> </w:t>
      </w:r>
      <w:r w:rsidR="00F337CC" w:rsidRPr="003C4C93">
        <w:rPr>
          <w:rFonts w:ascii="Times New Roman" w:hAnsi="Times New Roman" w:cs="Times New Roman"/>
          <w:sz w:val="24"/>
          <w:szCs w:val="24"/>
        </w:rPr>
        <w:t xml:space="preserve">o </w:t>
      </w:r>
      <w:r w:rsidRPr="003C4C93">
        <w:rPr>
          <w:rFonts w:ascii="Times New Roman" w:hAnsi="Times New Roman" w:cs="Times New Roman"/>
          <w:sz w:val="24"/>
          <w:szCs w:val="24"/>
        </w:rPr>
        <w:t>imóvel</w:t>
      </w:r>
      <w:r w:rsidR="00B12243" w:rsidRPr="003C4C93">
        <w:rPr>
          <w:rFonts w:ascii="Times New Roman" w:hAnsi="Times New Roman" w:cs="Times New Roman"/>
          <w:sz w:val="24"/>
          <w:szCs w:val="24"/>
        </w:rPr>
        <w:t>,</w:t>
      </w:r>
      <w:r w:rsidRPr="003C4C93">
        <w:rPr>
          <w:rFonts w:ascii="Times New Roman" w:hAnsi="Times New Roman" w:cs="Times New Roman"/>
          <w:sz w:val="24"/>
          <w:szCs w:val="24"/>
        </w:rPr>
        <w:t xml:space="preserve"> ao qual se referiam o atestado de capacidade técnica e a </w:t>
      </w:r>
      <w:r w:rsidR="00F337CC" w:rsidRPr="003C4C93">
        <w:rPr>
          <w:rFonts w:ascii="Times New Roman" w:hAnsi="Times New Roman" w:cs="Times New Roman"/>
          <w:sz w:val="24"/>
          <w:szCs w:val="24"/>
        </w:rPr>
        <w:t>Certidão de Acervo Técnico</w:t>
      </w:r>
      <w:r w:rsidR="00B12243" w:rsidRPr="003C4C93">
        <w:rPr>
          <w:rFonts w:ascii="Times New Roman" w:hAnsi="Times New Roman" w:cs="Times New Roman"/>
          <w:sz w:val="24"/>
          <w:szCs w:val="24"/>
        </w:rPr>
        <w:t>,</w:t>
      </w:r>
      <w:r w:rsidRPr="003C4C93">
        <w:rPr>
          <w:rFonts w:ascii="Times New Roman" w:hAnsi="Times New Roman" w:cs="Times New Roman"/>
          <w:sz w:val="24"/>
          <w:szCs w:val="24"/>
        </w:rPr>
        <w:t xml:space="preserve"> possui área total construída de apenas </w:t>
      </w:r>
      <w:r w:rsidR="00E7026E" w:rsidRPr="003C4C93">
        <w:rPr>
          <w:rFonts w:ascii="Times New Roman" w:hAnsi="Times New Roman" w:cs="Times New Roman"/>
          <w:sz w:val="24"/>
          <w:szCs w:val="24"/>
        </w:rPr>
        <w:t>220,30m², conforme comprovam alvará e projeto de aprovado, arquivados no Setor de Fiscalização (fls. 8, 12 e 13).</w:t>
      </w:r>
    </w:p>
    <w:p w:rsidR="00472806" w:rsidRPr="003C4C93" w:rsidRDefault="00472806"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O Setor de Fiscalização fez vistoria </w:t>
      </w:r>
      <w:r w:rsidRPr="003C4C93">
        <w:rPr>
          <w:rFonts w:ascii="Times New Roman" w:hAnsi="Times New Roman" w:cs="Times New Roman"/>
          <w:i/>
          <w:sz w:val="24"/>
          <w:szCs w:val="24"/>
        </w:rPr>
        <w:t>in loco</w:t>
      </w:r>
      <w:r w:rsidRPr="003C4C93">
        <w:rPr>
          <w:rFonts w:ascii="Times New Roman" w:hAnsi="Times New Roman" w:cs="Times New Roman"/>
          <w:sz w:val="24"/>
          <w:szCs w:val="24"/>
        </w:rPr>
        <w:t xml:space="preserve"> do imóvel e confirmou que </w:t>
      </w:r>
      <w:r w:rsidR="00CE52FD" w:rsidRPr="003C4C93">
        <w:rPr>
          <w:rFonts w:ascii="Times New Roman" w:hAnsi="Times New Roman" w:cs="Times New Roman"/>
          <w:sz w:val="24"/>
          <w:szCs w:val="24"/>
        </w:rPr>
        <w:t xml:space="preserve">a </w:t>
      </w:r>
      <w:r w:rsidRPr="003C4C93">
        <w:rPr>
          <w:rFonts w:ascii="Times New Roman" w:hAnsi="Times New Roman" w:cs="Times New Roman"/>
          <w:sz w:val="24"/>
          <w:szCs w:val="24"/>
        </w:rPr>
        <w:t>sua área é de</w:t>
      </w:r>
      <w:r w:rsidR="00F337CC" w:rsidRPr="003C4C93">
        <w:rPr>
          <w:rFonts w:ascii="Times New Roman" w:hAnsi="Times New Roman" w:cs="Times New Roman"/>
          <w:sz w:val="24"/>
          <w:szCs w:val="24"/>
        </w:rPr>
        <w:t xml:space="preserve"> </w:t>
      </w:r>
      <w:r w:rsidR="00BB6D2C" w:rsidRPr="003C4C93">
        <w:rPr>
          <w:rFonts w:ascii="Times New Roman" w:hAnsi="Times New Roman" w:cs="Times New Roman"/>
          <w:sz w:val="24"/>
          <w:szCs w:val="24"/>
        </w:rPr>
        <w:t>apenas 220,30m² (fls. 30 a 42).</w:t>
      </w:r>
    </w:p>
    <w:p w:rsidR="00847BE2" w:rsidRPr="003C4C93" w:rsidRDefault="00847BE2"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Em seu depoimento, a arquiteta Sra. Rosimeri de Fátima Spazini afirma que a casa realmente tem apenas 220,30m², mas que na sua RRT/CAU contabilizou “todas as áreas a serem trabalhadas na reforma, neste caso em paredes, forros, coberturas, iluminação, paisagismo, etc...”. (fl. 221).</w:t>
      </w:r>
    </w:p>
    <w:p w:rsidR="00847BE2" w:rsidRPr="003C4C93" w:rsidRDefault="00847BE2"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Contudo, verificou-se que a reforma não se deu em toda casa, porquanto houve apenas o fechamento de sacada frontal e do piso do jardim da casa (fl. 219).</w:t>
      </w:r>
    </w:p>
    <w:p w:rsidR="00EF606B" w:rsidRPr="003C4C93" w:rsidRDefault="00EF606B"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Apesar disso, indicou-se a execução de 560 m² de reforma, 560 m² </w:t>
      </w:r>
      <w:r w:rsidR="00ED55C9" w:rsidRPr="003C4C93">
        <w:rPr>
          <w:rFonts w:ascii="Times New Roman" w:hAnsi="Times New Roman" w:cs="Times New Roman"/>
          <w:sz w:val="24"/>
          <w:szCs w:val="24"/>
        </w:rPr>
        <w:t>de estrutura de madeira, 56</w:t>
      </w:r>
      <w:r w:rsidR="00E25996" w:rsidRPr="003C4C93">
        <w:rPr>
          <w:rFonts w:ascii="Times New Roman" w:hAnsi="Times New Roman" w:cs="Times New Roman"/>
          <w:sz w:val="24"/>
          <w:szCs w:val="24"/>
        </w:rPr>
        <w:t>0</w:t>
      </w:r>
      <w:r w:rsidR="00ED55C9" w:rsidRPr="003C4C93">
        <w:rPr>
          <w:rFonts w:ascii="Times New Roman" w:hAnsi="Times New Roman" w:cs="Times New Roman"/>
          <w:sz w:val="24"/>
          <w:szCs w:val="24"/>
        </w:rPr>
        <w:t>m² de estrutura de concreto e outros serviços com atribuição de dimensionamento sem qualquer relação com as obras efetivamente executadas.</w:t>
      </w:r>
    </w:p>
    <w:p w:rsidR="00ED55C9" w:rsidRPr="003C4C93" w:rsidRDefault="00ED55C9"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Ou seja, a empresa nunca executou uma reforma de 560 m², longe disso, mas se utilizou desse acervo técnico com informações dissociadas da realidade para se habilitar em um certame de forma indevida.</w:t>
      </w:r>
    </w:p>
    <w:p w:rsidR="00472806" w:rsidRPr="003C4C93" w:rsidRDefault="00472806"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Em que pese a contratada alegue em sua defesa que os documentos não são falsos e que a área informada pela arquiteta responsável considera</w:t>
      </w:r>
      <w:r w:rsidR="00CE52FD" w:rsidRPr="003C4C93">
        <w:rPr>
          <w:rFonts w:ascii="Times New Roman" w:hAnsi="Times New Roman" w:cs="Times New Roman"/>
          <w:sz w:val="24"/>
          <w:szCs w:val="24"/>
        </w:rPr>
        <w:t>,</w:t>
      </w:r>
      <w:r w:rsidRPr="003C4C93">
        <w:rPr>
          <w:rFonts w:ascii="Times New Roman" w:hAnsi="Times New Roman" w:cs="Times New Roman"/>
          <w:sz w:val="24"/>
          <w:szCs w:val="24"/>
        </w:rPr>
        <w:t xml:space="preserve"> além da área dos pavimentos, a área de cobertura e de subsolo sob pilotis, </w:t>
      </w:r>
      <w:r w:rsidR="00B12243" w:rsidRPr="003C4C93">
        <w:rPr>
          <w:rFonts w:ascii="Times New Roman" w:hAnsi="Times New Roman" w:cs="Times New Roman"/>
          <w:sz w:val="24"/>
          <w:szCs w:val="24"/>
        </w:rPr>
        <w:t>tais argumentos não merecem</w:t>
      </w:r>
      <w:r w:rsidRPr="003C4C93">
        <w:rPr>
          <w:rFonts w:ascii="Times New Roman" w:hAnsi="Times New Roman" w:cs="Times New Roman"/>
          <w:sz w:val="24"/>
          <w:szCs w:val="24"/>
        </w:rPr>
        <w:t xml:space="preserve"> prosperar.</w:t>
      </w:r>
    </w:p>
    <w:p w:rsidR="00156FE0" w:rsidRPr="003C4C93" w:rsidRDefault="00472806"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Para </w:t>
      </w:r>
      <w:r w:rsidR="00B12243" w:rsidRPr="003C4C93">
        <w:rPr>
          <w:rFonts w:ascii="Times New Roman" w:hAnsi="Times New Roman" w:cs="Times New Roman"/>
          <w:sz w:val="24"/>
          <w:szCs w:val="24"/>
        </w:rPr>
        <w:t xml:space="preserve">evitar </w:t>
      </w:r>
      <w:r w:rsidR="009E07EF" w:rsidRPr="003C4C93">
        <w:rPr>
          <w:rFonts w:ascii="Times New Roman" w:hAnsi="Times New Roman" w:cs="Times New Roman"/>
          <w:sz w:val="24"/>
          <w:szCs w:val="24"/>
        </w:rPr>
        <w:t>repetir os mesmos argumentos</w:t>
      </w:r>
      <w:r w:rsidR="00B12243" w:rsidRPr="003C4C93">
        <w:rPr>
          <w:rFonts w:ascii="Times New Roman" w:hAnsi="Times New Roman" w:cs="Times New Roman"/>
          <w:sz w:val="24"/>
          <w:szCs w:val="24"/>
        </w:rPr>
        <w:t>, reproduz</w:t>
      </w:r>
      <w:r w:rsidR="001C746A" w:rsidRPr="003C4C93">
        <w:rPr>
          <w:rFonts w:ascii="Times New Roman" w:hAnsi="Times New Roman" w:cs="Times New Roman"/>
          <w:sz w:val="24"/>
          <w:szCs w:val="24"/>
        </w:rPr>
        <w:t>em</w:t>
      </w:r>
      <w:r w:rsidR="00B12243" w:rsidRPr="003C4C93">
        <w:rPr>
          <w:rFonts w:ascii="Times New Roman" w:hAnsi="Times New Roman" w:cs="Times New Roman"/>
          <w:sz w:val="24"/>
          <w:szCs w:val="24"/>
        </w:rPr>
        <w:t xml:space="preserve">-se os principais trechos do relatório </w:t>
      </w:r>
      <w:r w:rsidR="00EF606B" w:rsidRPr="003C4C93">
        <w:rPr>
          <w:rFonts w:ascii="Times New Roman" w:hAnsi="Times New Roman" w:cs="Times New Roman"/>
          <w:sz w:val="24"/>
          <w:szCs w:val="24"/>
        </w:rPr>
        <w:t xml:space="preserve">final </w:t>
      </w:r>
      <w:r w:rsidR="00B12243" w:rsidRPr="003C4C93">
        <w:rPr>
          <w:rFonts w:ascii="Times New Roman" w:hAnsi="Times New Roman" w:cs="Times New Roman"/>
          <w:sz w:val="24"/>
          <w:szCs w:val="24"/>
        </w:rPr>
        <w:t>da</w:t>
      </w:r>
      <w:r w:rsidRPr="003C4C93">
        <w:rPr>
          <w:rFonts w:ascii="Times New Roman" w:hAnsi="Times New Roman" w:cs="Times New Roman"/>
          <w:sz w:val="24"/>
          <w:szCs w:val="24"/>
        </w:rPr>
        <w:t xml:space="preserve"> Comissão designada</w:t>
      </w:r>
      <w:r w:rsidR="00EF606B" w:rsidRPr="003C4C93">
        <w:rPr>
          <w:rFonts w:ascii="Times New Roman" w:hAnsi="Times New Roman" w:cs="Times New Roman"/>
          <w:sz w:val="24"/>
          <w:szCs w:val="24"/>
        </w:rPr>
        <w:t xml:space="preserve"> (fls. 236-240)</w:t>
      </w:r>
      <w:r w:rsidRPr="003C4C93">
        <w:rPr>
          <w:rFonts w:ascii="Times New Roman" w:hAnsi="Times New Roman" w:cs="Times New Roman"/>
          <w:sz w:val="24"/>
          <w:szCs w:val="24"/>
        </w:rPr>
        <w:t>:</w:t>
      </w:r>
    </w:p>
    <w:p w:rsidR="0014489F" w:rsidRPr="003C4C93" w:rsidRDefault="0085579A"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w:t>
      </w:r>
    </w:p>
    <w:p w:rsidR="0014489F" w:rsidRPr="003C4C93" w:rsidRDefault="0014489F" w:rsidP="003059CC">
      <w:pPr>
        <w:spacing w:after="120" w:line="240" w:lineRule="auto"/>
        <w:ind w:left="1701"/>
        <w:jc w:val="both"/>
        <w:rPr>
          <w:rFonts w:ascii="Times New Roman" w:hAnsi="Times New Roman" w:cs="Times New Roman"/>
          <w:strike/>
          <w:sz w:val="24"/>
          <w:szCs w:val="24"/>
        </w:rPr>
      </w:pPr>
      <w:r w:rsidRPr="003C4C93">
        <w:rPr>
          <w:rFonts w:ascii="Times New Roman" w:hAnsi="Times New Roman" w:cs="Times New Roman"/>
          <w:sz w:val="24"/>
          <w:szCs w:val="24"/>
        </w:rPr>
        <w:t xml:space="preserve">No que diz respeito a Certidão de Acervo Técnico, com nº 0000000743312, reconhecido pelo Conselho de Arquitetura e Urbanismo do Brasil, apresentado pela empresa DE LUCCA PARK LTDA e em nome da profissional Rosimeri Fatima Spazini, podemos verificar dados referentes a três RRTs (Registro de Responsabilidade Técnica), sendo estas: RRT de nº 12008467, RRT de n° 11948309 e RRT de nº 12008699. </w:t>
      </w:r>
      <w:r w:rsidRPr="003C4C93">
        <w:rPr>
          <w:rFonts w:ascii="Times New Roman" w:hAnsi="Times New Roman" w:cs="Times New Roman"/>
          <w:sz w:val="24"/>
          <w:szCs w:val="24"/>
          <w:u w:val="single"/>
        </w:rPr>
        <w:t>As duas primeiras são respectivas a atividades técnicas de elaboração de projetos, e que não condiz com execução de reforma (objeto do contrato), portanto esta não tem relevância quanto a comprovação de capacidade técnica para execução do objeto do processo licitatório (execução de reforma)</w:t>
      </w:r>
      <w:r w:rsidRPr="003C4C93">
        <w:rPr>
          <w:rFonts w:ascii="Times New Roman" w:hAnsi="Times New Roman" w:cs="Times New Roman"/>
          <w:sz w:val="24"/>
          <w:szCs w:val="24"/>
        </w:rPr>
        <w:t>. Já a RRT de nº 12008699 traz itens relacionados a execução de reforma, portanto está RRT foi a que teve seus itens analisados com maior criticidade.</w:t>
      </w:r>
    </w:p>
    <w:p w:rsidR="0014489F" w:rsidRPr="003C4C93" w:rsidRDefault="0014489F"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A RRT de nº 12008699 em nome da profissional Rosimeri Fatima Spazini, devidamente registrada como acervo técnico traz a seguinte descrição: “Refere-se a RRT de execução de projeto de ampliação e reforma de edificação em alvenaria, localizada na Rua Victória Silvestre Bertoncello, medindo 560,00m², execução de ampliação e adequação de acessibilidade, cobertura, adequação de PPCI, acessibilidade. Execução de projeto de interiores contando com iluminação, hidrossanitário, acabamento de revestimento em pedra, forro com gesso, instalações de ar condicionado, execução de projeto paisagístico”.  Quanto as atividades técnicas descritas como ATIVIDADES TÉCNICAS REALIZADAS tem-se no corpo da RRT: “2.1.1 – Execução de obra, 560 m²; 2.1.2 – Execução de reforma de edificação, 560 m²; 2.1.5 – Execução de adequação de acessibilidade, 560 m²; 2.2.1 – Execução de estrutura de madeira, 560 m²; 2.2.2 – Execução de estrutura de concreto, 560 m²; 2.3.2 – Execução de instalações luminotécnicas, 560 m²; 2.3.5 – Execução de instalações de ventilação, exaustão e climatização, 560 m²; 2.4.2 – Execução de reforma de interiores, 560 m²; 2.4.3 – Execução de mobiliário, 560 m²; 2.5.1 – Execução de instalações hidrossanitárias prediais, 560 m²; 2.5.3 – Execução de instalações prediais de gás canalizado, 560 m²; 2.5.5 – Execução de instalações prediais de prevenção e combate a incêndio, 560 m²; 2.5.6 – Execução de sistemas prediais de proteção contra incêndios e catástrofes, 560 m²; 2.6.1 – Execução de obra de arquitetura paisagística, 560 m²; 2.8.4 – execução de obra de sinalização viária, 1 un; 2.9.3.1 – Execução de obra de recuperação paisagística, 560 m²;”.  </w:t>
      </w:r>
    </w:p>
    <w:p w:rsidR="0014489F" w:rsidRPr="003C4C93" w:rsidRDefault="0014489F"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w:t>
      </w:r>
    </w:p>
    <w:p w:rsidR="0085579A" w:rsidRPr="003C4C93" w:rsidRDefault="0085579A"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 edificação existente, de propriedade do Sr. Ivanildo Rodrigues de Oliveira (objeto da RRT nº 12008699, emitida pela responsável técnica Rosimeri Fatima Spazini e apresentada como acervo pela empresa De Lucca Park), tem alvará de construção do ano de 2014, com número 24/2014, expedido pela Prefeitura Municipal de Catanduvas. Os projetos aprovados pela municipalidade naquela oportunidade, estão sobre responsabilidade técnica do profissional, engenheiro civil, Tiago Donati, e descritos na ART 5037569-0. Em observação dos projetos, ART e documentos contidos no alvará fica claro que a edificação tem área total de 220,30 m², tendo o pavimento térreo 127,65 m², e o pavimento superior com 92,65 m².</w:t>
      </w:r>
    </w:p>
    <w:p w:rsidR="0085579A" w:rsidRPr="003C4C93" w:rsidRDefault="0085579A"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w:t>
      </w:r>
    </w:p>
    <w:p w:rsidR="0085579A" w:rsidRPr="003C4C93" w:rsidRDefault="0085579A"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Quanto a área da edificação, o alvará citado anteriormente menciona a área de 220,30m² (conforme projetos arquivados na prefeitura). As atividades técnicas descritas na RRT de Reforma em questão, referem-se a uma área de 560,00m², ou seja, mais que o dobro da área total edificada conforme alvará municipal e inspeção visual.</w:t>
      </w:r>
    </w:p>
    <w:p w:rsidR="0085579A" w:rsidRPr="003C4C93" w:rsidRDefault="0085579A"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Quanto a natureza dos serviços especificados na RRT, alguns não são compatíveis com a funcionalidade da obra que se trata de uma edificação residencial unifamiliar, </w:t>
      </w:r>
      <w:r w:rsidR="00FD1760" w:rsidRPr="003C4C93">
        <w:rPr>
          <w:rFonts w:ascii="Times New Roman" w:hAnsi="Times New Roman" w:cs="Times New Roman"/>
          <w:sz w:val="24"/>
          <w:szCs w:val="24"/>
        </w:rPr>
        <w:t xml:space="preserve">estes itens </w:t>
      </w:r>
      <w:r w:rsidRPr="003C4C93">
        <w:rPr>
          <w:rFonts w:ascii="Times New Roman" w:hAnsi="Times New Roman" w:cs="Times New Roman"/>
          <w:sz w:val="24"/>
          <w:szCs w:val="24"/>
        </w:rPr>
        <w:t>serão relatados abaixo com observações</w:t>
      </w:r>
      <w:r w:rsidRPr="003C4C93">
        <w:rPr>
          <w:rFonts w:ascii="Times New Roman" w:hAnsi="Times New Roman" w:cs="Times New Roman"/>
          <w:i/>
          <w:sz w:val="24"/>
          <w:szCs w:val="24"/>
        </w:rPr>
        <w:t xml:space="preserve">. </w:t>
      </w:r>
      <w:r w:rsidRPr="003C4C93">
        <w:rPr>
          <w:rFonts w:ascii="Times New Roman" w:hAnsi="Times New Roman" w:cs="Times New Roman"/>
          <w:sz w:val="24"/>
          <w:szCs w:val="24"/>
        </w:rPr>
        <w:t>Podemos destacar</w:t>
      </w:r>
      <w:r w:rsidRPr="003C4C93">
        <w:rPr>
          <w:rFonts w:ascii="Times New Roman" w:hAnsi="Times New Roman" w:cs="Times New Roman"/>
          <w:i/>
          <w:sz w:val="24"/>
          <w:szCs w:val="24"/>
        </w:rPr>
        <w:t xml:space="preserve"> </w:t>
      </w:r>
      <w:r w:rsidRPr="003C4C93">
        <w:rPr>
          <w:rFonts w:ascii="Times New Roman" w:hAnsi="Times New Roman" w:cs="Times New Roman"/>
          <w:sz w:val="24"/>
          <w:szCs w:val="24"/>
        </w:rPr>
        <w:t xml:space="preserve">como incoerentes as seguintes atividades descritas no corpo da RRT: </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sz w:val="24"/>
          <w:szCs w:val="24"/>
        </w:rPr>
      </w:pPr>
      <w:r w:rsidRPr="003C4C93">
        <w:rPr>
          <w:rFonts w:ascii="Times New Roman" w:hAnsi="Times New Roman"/>
          <w:sz w:val="24"/>
          <w:szCs w:val="24"/>
        </w:rPr>
        <w:t>2.1.1 – Execução de obra, 560m² (execução realizada em 2014, por outro profissional);</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sz w:val="24"/>
          <w:szCs w:val="24"/>
        </w:rPr>
      </w:pPr>
      <w:r w:rsidRPr="003C4C93">
        <w:rPr>
          <w:rFonts w:ascii="Times New Roman" w:hAnsi="Times New Roman"/>
          <w:sz w:val="24"/>
          <w:szCs w:val="24"/>
        </w:rPr>
        <w:t xml:space="preserve">2.1.5 – Execução de adequação de acessibilidade, 560,00 m² (a adaptação de acessibilidade segundo a Lei Federal 10.098, no seu artigo 11 é exigida apenas na construção, ampliação ou reforma de edifícios públicos ou privados ao uso coletivo, não sendo usual ou obrigatório a exigência de adaptação neste caso);  </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color w:val="FF0000"/>
          <w:sz w:val="24"/>
          <w:szCs w:val="24"/>
        </w:rPr>
      </w:pPr>
      <w:r w:rsidRPr="003C4C93">
        <w:rPr>
          <w:rFonts w:ascii="Times New Roman" w:hAnsi="Times New Roman"/>
          <w:sz w:val="24"/>
          <w:szCs w:val="24"/>
        </w:rPr>
        <w:t>2.2.1 – Execução de estrutura de madeira, 560,00 m² (a estrutura da edificação é em concreto armado, e conforme projetos</w:t>
      </w:r>
      <w:r w:rsidR="00FD1760" w:rsidRPr="003C4C93">
        <w:rPr>
          <w:rFonts w:ascii="Times New Roman" w:hAnsi="Times New Roman"/>
          <w:sz w:val="24"/>
          <w:szCs w:val="24"/>
        </w:rPr>
        <w:t>,</w:t>
      </w:r>
      <w:r w:rsidRPr="003C4C93">
        <w:rPr>
          <w:rFonts w:ascii="Times New Roman" w:hAnsi="Times New Roman"/>
          <w:sz w:val="24"/>
          <w:szCs w:val="24"/>
        </w:rPr>
        <w:t xml:space="preserve"> o único ponto da edificação que poderia ser executado estrutura em madeira é a cobertura que quando somadas as áreas de cobertura entre pavimento superior e inferior tem-se a área de 202,38m² e não 560,00m² como descrito, isto posto, a edificação foi construída em 2014 e mantém o mesmo desenho de fachada executado pelo engenheiro responsável a época, portanto, essa estrutura já estaria coberta por outra ART;</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sz w:val="24"/>
          <w:szCs w:val="24"/>
        </w:rPr>
      </w:pPr>
      <w:r w:rsidRPr="003C4C93">
        <w:rPr>
          <w:rFonts w:ascii="Times New Roman" w:hAnsi="Times New Roman"/>
          <w:sz w:val="24"/>
          <w:szCs w:val="24"/>
        </w:rPr>
        <w:t>2.5.3 – Execução de instalações prediais de gás canalizado, 560,00 m² (Conforme art. 11 e 12 da IN 1 – parte 1 do Corpo de Bombeiros do Estado de Santa Catarina, as unidades residenciais unifamiliares, não são objeto de fiscalização e não se aplicam as instruções normativas conforme art. 6 da mesma IN, portanto, não há qualquer exigência de instalação de sistemas preventivos ( gás, alarme, para-raios, a existência de extint</w:t>
      </w:r>
      <w:r w:rsidR="000907A3" w:rsidRPr="003C4C93">
        <w:rPr>
          <w:rFonts w:ascii="Times New Roman" w:hAnsi="Times New Roman"/>
          <w:sz w:val="24"/>
          <w:szCs w:val="24"/>
        </w:rPr>
        <w:t>ores, sinalização, saídas, etc</w:t>
      </w:r>
      <w:r w:rsidRPr="003C4C93">
        <w:rPr>
          <w:rFonts w:ascii="Times New Roman" w:hAnsi="Times New Roman"/>
          <w:sz w:val="24"/>
          <w:szCs w:val="24"/>
        </w:rPr>
        <w:t>, ainda cabe ressaltar que não foi verificada nenhuma central de gás anexa a edificação);</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sz w:val="24"/>
          <w:szCs w:val="24"/>
        </w:rPr>
      </w:pPr>
      <w:r w:rsidRPr="003C4C93">
        <w:rPr>
          <w:rFonts w:ascii="Times New Roman" w:hAnsi="Times New Roman"/>
          <w:sz w:val="24"/>
          <w:szCs w:val="24"/>
        </w:rPr>
        <w:t>2.5.5 – Execução de instalações prediais de prevenção e combate a incêndio, 560,00 m² (Conforme relatado no “item d” não há qualquer orientação, norma ou exigência quanto a instalação dos sistemas na edificação, e a utilização de placas de sinalização, luminárias de emergência e extintores que seriam os sistemas vitais, dentro de uma edificação residencial causa certa estranheza devido a incompatibilidade com a decoração);</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color w:val="FF0000"/>
          <w:sz w:val="24"/>
          <w:szCs w:val="24"/>
        </w:rPr>
      </w:pPr>
      <w:r w:rsidRPr="003C4C93">
        <w:rPr>
          <w:rFonts w:ascii="Times New Roman" w:hAnsi="Times New Roman"/>
          <w:sz w:val="24"/>
          <w:szCs w:val="24"/>
        </w:rPr>
        <w:t>2.5.6 – Execução de sistemas prediais de proteção contra incêndios e catástrofes, 560m² (Vide item “d” e “e”, quanto a prevenção contra incêndios);</w:t>
      </w:r>
    </w:p>
    <w:p w:rsidR="0085579A" w:rsidRPr="003C4C93" w:rsidRDefault="0085579A" w:rsidP="003059CC">
      <w:pPr>
        <w:pStyle w:val="PargrafodaLista"/>
        <w:numPr>
          <w:ilvl w:val="0"/>
          <w:numId w:val="11"/>
        </w:numPr>
        <w:spacing w:after="120" w:line="240" w:lineRule="auto"/>
        <w:ind w:left="1701" w:firstLine="0"/>
        <w:contextualSpacing w:val="0"/>
        <w:jc w:val="both"/>
        <w:rPr>
          <w:rFonts w:ascii="Times New Roman" w:hAnsi="Times New Roman"/>
          <w:color w:val="FF0000"/>
          <w:sz w:val="24"/>
          <w:szCs w:val="24"/>
        </w:rPr>
      </w:pPr>
      <w:r w:rsidRPr="003C4C93">
        <w:rPr>
          <w:rFonts w:ascii="Times New Roman" w:hAnsi="Times New Roman"/>
          <w:sz w:val="24"/>
          <w:szCs w:val="24"/>
        </w:rPr>
        <w:t>Execução de obra sinalização viária, 1 unidade (Serviço relacionado a obras de pavimentação, seja horizontal como pintura ou vertical por placas, pórticos, etc. não compatível com uma obra de reforma residencial).</w:t>
      </w:r>
    </w:p>
    <w:p w:rsidR="001A4BA2" w:rsidRPr="003C4C93" w:rsidRDefault="001A4BA2" w:rsidP="003059CC">
      <w:pPr>
        <w:pStyle w:val="PargrafodaLista"/>
        <w:spacing w:after="120" w:line="240" w:lineRule="auto"/>
        <w:ind w:left="1701"/>
        <w:contextualSpacing w:val="0"/>
        <w:jc w:val="both"/>
        <w:rPr>
          <w:rFonts w:ascii="Times New Roman" w:hAnsi="Times New Roman"/>
          <w:color w:val="FF0000"/>
          <w:sz w:val="24"/>
          <w:szCs w:val="24"/>
        </w:rPr>
      </w:pPr>
      <w:r w:rsidRPr="003C4C93">
        <w:rPr>
          <w:rFonts w:ascii="Times New Roman" w:hAnsi="Times New Roman"/>
          <w:sz w:val="24"/>
          <w:szCs w:val="24"/>
        </w:rPr>
        <w:t>(...)</w:t>
      </w:r>
    </w:p>
    <w:p w:rsidR="000907A3" w:rsidRPr="003C4C93" w:rsidRDefault="000907A3"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Considerando a vistoria realizada, os questionamentos efetivados pela empresa bem</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como os documentos anexados ao processo, a comissão do processo administrativo elaborou</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outro parecer (fl. 192 a 205), concluindo que o documento é verídico, porém não concorda com o</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preenchimento da RRT quanto aos quantitativos e especificação de serviços executados, desse</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modo a comissão solicitou que a administração notificasse o CAU/SC (conselho dos arquitetos e</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urbanistas) para que verificasse o conteúdo da RRT.</w:t>
      </w:r>
    </w:p>
    <w:p w:rsidR="000907A3" w:rsidRPr="003C4C93" w:rsidRDefault="000907A3"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O CAU/SC respondeu via e-mail (fl. 207) com a seguinte declaração: "O RRT é um</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documento auto declaratório que não passa pela conferência do CAU quanto as informações</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relatadas. Com base no RRT emitido o profissional pode solicitar no sistema uma CAT simples,</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que é emitida com base no RRT preenchido. Para licitações o ideal é que seja apresentada a CAT</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com atestado técnico, esse tipo de CAT é analisado pelo CAU onde são solicitados documentos</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comprobatórios da efetiva realização daquele serviço. Pelo que verificamos no sistema a</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profissional tentou emitir a CAT com atestado desse RRT, porém, foram encontradas divergências</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nos documentos anexados e solicitado esclarecimentos e correções, porém, a mesma não deu</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retorno ao conselho. Não conseguindo emitir a CAT com atestado, a profissional emitiu esta CAT</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simples que foi apresentada para licitação. O documento (CAT - Certidão de Acervo Técnico) é</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verídico emitido pelo sistema, porém, como o formato dela é emitida com base num documento</w:t>
      </w:r>
    </w:p>
    <w:p w:rsidR="000907A3" w:rsidRPr="003C4C93" w:rsidRDefault="000907A3"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autodeclaratório não sendo indicado o uso para comprovações em licitação cujo documento ideal</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é a CAT-A (Certidão de Acervo Técnico com Atestado)"</w:t>
      </w:r>
    </w:p>
    <w:p w:rsidR="003C4C93" w:rsidRDefault="000907A3" w:rsidP="003C4C93">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 empresa processada entregou na data de 06 de novembro de 2023 (fl. 210) ao Prefeito</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Municipal notificação reforçando o requerimento da oitiva de testemunhas.</w:t>
      </w:r>
      <w:r w:rsidR="003C4C93">
        <w:rPr>
          <w:rFonts w:ascii="Times New Roman" w:hAnsi="Times New Roman" w:cs="Times New Roman"/>
          <w:sz w:val="24"/>
          <w:szCs w:val="24"/>
        </w:rPr>
        <w:t xml:space="preserve"> </w:t>
      </w:r>
    </w:p>
    <w:p w:rsidR="001A4BA2" w:rsidRPr="003C4C93" w:rsidRDefault="000907A3" w:rsidP="003C4C93">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Aos nove dias do mês de novembro de 2023, a comissão do processo administrativo</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redigiu ata de deliberação (fl. 211 e 212) indeferindo a oitiva do Dr. Marcio Jucélio de Lucca, pois</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como representante da empresa é interessado direto do processo e é impedido de depor (art. 447,</w:t>
      </w:r>
      <w:r w:rsidR="001A4BA2" w:rsidRPr="003C4C93">
        <w:rPr>
          <w:rFonts w:ascii="Times New Roman" w:hAnsi="Times New Roman" w:cs="Times New Roman"/>
          <w:sz w:val="24"/>
          <w:szCs w:val="24"/>
        </w:rPr>
        <w:t xml:space="preserve"> </w:t>
      </w:r>
      <w:r w:rsidRPr="003C4C93">
        <w:rPr>
          <w:rFonts w:ascii="Times New Roman" w:hAnsi="Times New Roman" w:cs="Times New Roman"/>
          <w:sz w:val="24"/>
          <w:szCs w:val="24"/>
        </w:rPr>
        <w:t>§ 2º, III) e deferindo a oitiva das testemunhas Ivanildo Rodrigue de Oliveira e Rosimeri Fatima</w:t>
      </w:r>
      <w:r w:rsidR="001A4BA2" w:rsidRPr="003C4C93">
        <w:rPr>
          <w:rFonts w:ascii="Times New Roman" w:hAnsi="Times New Roman" w:cs="Times New Roman"/>
          <w:sz w:val="24"/>
          <w:szCs w:val="24"/>
        </w:rPr>
        <w:t xml:space="preserve"> Spazini. Na data de 14 de novembro de 2023 foi entregue via e-mail aos representantes da empresa De Lucca Park Ltda, a Ata de Deliberação da comissão do processo administrativo bem como os convites para as oitivas de testemunhas (fl. 213 a 215).</w:t>
      </w:r>
    </w:p>
    <w:p w:rsidR="001A4BA2" w:rsidRPr="003C4C93" w:rsidRDefault="001A4BA2"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 oitiva de testemunhas foi realizada no dia 23 de novembro, as dez horas no gabinete do Prefeito (sala de reunião), na presença dos membros da comissão do processo administrativo, Srs. Lucas Ramon</w:t>
      </w:r>
      <w:r w:rsidRPr="003C4C93">
        <w:rPr>
          <w:rFonts w:ascii="Times New Roman" w:hAnsi="Times New Roman" w:cs="Times New Roman"/>
          <w:sz w:val="24"/>
          <w:szCs w:val="24"/>
        </w:rPr>
        <w:br/>
        <w:t>Sartori, Leonei José Martins e Carlos Augusto Czech e os representantes da empresa De Lucca Park, Sr. Marcio Jucélio de Lucca e Sras. Bianca Dias Hunter e Carine Mineiro. Na oportunidade a defesa solicitou dispensa da testemunha Ivanildo Rodrigues de Oliveira, e foi ouvida a</w:t>
      </w:r>
      <w:r w:rsidRPr="003C4C93">
        <w:rPr>
          <w:rFonts w:ascii="Times New Roman" w:hAnsi="Times New Roman" w:cs="Times New Roman"/>
          <w:sz w:val="24"/>
          <w:szCs w:val="24"/>
        </w:rPr>
        <w:br/>
        <w:t>testemunha Rosimeri Fátima Spazini, os questionamentos, respostas e comentários foram registrados em ata (fl. 216 a 221).</w:t>
      </w:r>
    </w:p>
    <w:p w:rsidR="001A4BA2" w:rsidRPr="003C4C93" w:rsidRDefault="001A4BA2"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CONCLUSÃO</w:t>
      </w:r>
    </w:p>
    <w:p w:rsidR="00BF1C3B" w:rsidRPr="003C4C93" w:rsidRDefault="001A4BA2"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Pelos fatos acima expostos e diante do conjunto probatório analisado, a Comissão do Processo Administrativo 001/2023 conclui que as informações contidas na documentação apresentada para comprovação do acervo técnico, mais especificamente que a RRT descrita no</w:t>
      </w:r>
      <w:r w:rsidRPr="003C4C93">
        <w:rPr>
          <w:rFonts w:ascii="Times New Roman" w:hAnsi="Times New Roman" w:cs="Times New Roman"/>
          <w:sz w:val="24"/>
          <w:szCs w:val="24"/>
        </w:rPr>
        <w:br/>
        <w:t>processo administrativo é um documen</w:t>
      </w:r>
      <w:r w:rsidR="00BF1C3B" w:rsidRPr="003C4C93">
        <w:rPr>
          <w:rFonts w:ascii="Times New Roman" w:hAnsi="Times New Roman" w:cs="Times New Roman"/>
          <w:sz w:val="24"/>
          <w:szCs w:val="24"/>
        </w:rPr>
        <w:t xml:space="preserve">to verídico, todavia a comissão não concorda com o </w:t>
      </w:r>
      <w:r w:rsidRPr="003C4C93">
        <w:rPr>
          <w:rFonts w:ascii="Times New Roman" w:hAnsi="Times New Roman" w:cs="Times New Roman"/>
          <w:sz w:val="24"/>
          <w:szCs w:val="24"/>
        </w:rPr>
        <w:t>preenchimento</w:t>
      </w:r>
      <w:r w:rsidR="00BF1C3B" w:rsidRPr="003C4C93">
        <w:rPr>
          <w:rFonts w:ascii="Times New Roman" w:hAnsi="Times New Roman" w:cs="Times New Roman"/>
          <w:sz w:val="24"/>
          <w:szCs w:val="24"/>
        </w:rPr>
        <w:t xml:space="preserve"> do corpo do documento e também </w:t>
      </w:r>
      <w:r w:rsidRPr="003C4C93">
        <w:rPr>
          <w:rFonts w:ascii="Times New Roman" w:hAnsi="Times New Roman" w:cs="Times New Roman"/>
          <w:sz w:val="24"/>
          <w:szCs w:val="24"/>
        </w:rPr>
        <w:t>com</w:t>
      </w:r>
      <w:r w:rsidR="00BF1C3B" w:rsidRPr="003C4C93">
        <w:rPr>
          <w:rFonts w:ascii="Times New Roman" w:hAnsi="Times New Roman" w:cs="Times New Roman"/>
          <w:sz w:val="24"/>
          <w:szCs w:val="24"/>
        </w:rPr>
        <w:t xml:space="preserve">o apresentado pelo CAU/SC houve </w:t>
      </w:r>
      <w:r w:rsidRPr="003C4C93">
        <w:rPr>
          <w:rFonts w:ascii="Times New Roman" w:hAnsi="Times New Roman" w:cs="Times New Roman"/>
          <w:sz w:val="24"/>
          <w:szCs w:val="24"/>
        </w:rPr>
        <w:t>divergências quanto as informações contidas no documento. A defesa apresenta argumentação</w:t>
      </w:r>
      <w:r w:rsidRPr="003C4C93">
        <w:rPr>
          <w:rFonts w:ascii="Times New Roman" w:hAnsi="Times New Roman" w:cs="Times New Roman"/>
          <w:sz w:val="24"/>
          <w:szCs w:val="24"/>
        </w:rPr>
        <w:br/>
        <w:t>explicando a metodologia da prof</w:t>
      </w:r>
      <w:r w:rsidR="00BF1C3B" w:rsidRPr="003C4C93">
        <w:rPr>
          <w:rFonts w:ascii="Times New Roman" w:hAnsi="Times New Roman" w:cs="Times New Roman"/>
          <w:sz w:val="24"/>
          <w:szCs w:val="24"/>
        </w:rPr>
        <w:t xml:space="preserve">issional, onde os quantitativos descritos na RRT são aplicados </w:t>
      </w:r>
      <w:r w:rsidRPr="003C4C93">
        <w:rPr>
          <w:rFonts w:ascii="Times New Roman" w:hAnsi="Times New Roman" w:cs="Times New Roman"/>
          <w:sz w:val="24"/>
          <w:szCs w:val="24"/>
        </w:rPr>
        <w:t>de forma genérica sobre o objeto e também apresenta ARTS em nome do município onde os</w:t>
      </w:r>
      <w:r w:rsidRPr="003C4C93">
        <w:rPr>
          <w:rFonts w:ascii="Times New Roman" w:hAnsi="Times New Roman" w:cs="Times New Roman"/>
          <w:sz w:val="24"/>
          <w:szCs w:val="24"/>
        </w:rPr>
        <w:br/>
        <w:t>quantitativos são aplicados da mesma forma genérica, porém se</w:t>
      </w:r>
      <w:r w:rsidR="00BF1C3B" w:rsidRPr="003C4C93">
        <w:rPr>
          <w:rFonts w:ascii="Times New Roman" w:hAnsi="Times New Roman" w:cs="Times New Roman"/>
          <w:sz w:val="24"/>
          <w:szCs w:val="24"/>
        </w:rPr>
        <w:t xml:space="preserve">mpre obedecendo a área total do </w:t>
      </w:r>
      <w:r w:rsidRPr="003C4C93">
        <w:rPr>
          <w:rFonts w:ascii="Times New Roman" w:hAnsi="Times New Roman" w:cs="Times New Roman"/>
          <w:sz w:val="24"/>
          <w:szCs w:val="24"/>
        </w:rPr>
        <w:t>objeto. A comissão apesar de não concordar, entende a forma genérica de quantificação dos</w:t>
      </w:r>
      <w:r w:rsidRPr="003C4C93">
        <w:rPr>
          <w:rFonts w:ascii="Times New Roman" w:hAnsi="Times New Roman" w:cs="Times New Roman"/>
          <w:sz w:val="24"/>
          <w:szCs w:val="24"/>
        </w:rPr>
        <w:br/>
        <w:t>serviços listados na RRT, porém estes devem estar pontuados sobre a área tot</w:t>
      </w:r>
      <w:r w:rsidR="00BF1C3B" w:rsidRPr="003C4C93">
        <w:rPr>
          <w:rFonts w:ascii="Times New Roman" w:hAnsi="Times New Roman" w:cs="Times New Roman"/>
          <w:sz w:val="24"/>
          <w:szCs w:val="24"/>
        </w:rPr>
        <w:t xml:space="preserve">al do objeto, no </w:t>
      </w:r>
      <w:r w:rsidRPr="003C4C93">
        <w:rPr>
          <w:rFonts w:ascii="Times New Roman" w:hAnsi="Times New Roman" w:cs="Times New Roman"/>
          <w:sz w:val="24"/>
          <w:szCs w:val="24"/>
        </w:rPr>
        <w:t xml:space="preserve">caso o documento apresentado extrapola significativamente a área </w:t>
      </w:r>
      <w:r w:rsidR="00BF1C3B" w:rsidRPr="003C4C93">
        <w:rPr>
          <w:rFonts w:ascii="Times New Roman" w:hAnsi="Times New Roman" w:cs="Times New Roman"/>
          <w:sz w:val="24"/>
          <w:szCs w:val="24"/>
        </w:rPr>
        <w:t>total do objeto que é de 220,30</w:t>
      </w:r>
      <w:r w:rsidRPr="003C4C93">
        <w:rPr>
          <w:rFonts w:ascii="Times New Roman" w:hAnsi="Times New Roman" w:cs="Times New Roman"/>
          <w:sz w:val="24"/>
          <w:szCs w:val="24"/>
        </w:rPr>
        <w:t>m², e os serviços listados na RRT são todos na ordem de 560,0</w:t>
      </w:r>
      <w:r w:rsidR="00BF1C3B" w:rsidRPr="003C4C93">
        <w:rPr>
          <w:rFonts w:ascii="Times New Roman" w:hAnsi="Times New Roman" w:cs="Times New Roman"/>
          <w:sz w:val="24"/>
          <w:szCs w:val="24"/>
        </w:rPr>
        <w:t xml:space="preserve">0 m², também é notório serviços </w:t>
      </w:r>
      <w:r w:rsidRPr="003C4C93">
        <w:rPr>
          <w:rFonts w:ascii="Times New Roman" w:hAnsi="Times New Roman" w:cs="Times New Roman"/>
          <w:sz w:val="24"/>
          <w:szCs w:val="24"/>
        </w:rPr>
        <w:t>listados que não condizem com a edificação implan</w:t>
      </w:r>
      <w:r w:rsidR="00BF1C3B" w:rsidRPr="003C4C93">
        <w:rPr>
          <w:rFonts w:ascii="Times New Roman" w:hAnsi="Times New Roman" w:cs="Times New Roman"/>
          <w:sz w:val="24"/>
          <w:szCs w:val="24"/>
        </w:rPr>
        <w:t xml:space="preserve">tada. </w:t>
      </w:r>
      <w:r w:rsidRPr="003C4C93">
        <w:rPr>
          <w:rFonts w:ascii="Times New Roman" w:hAnsi="Times New Roman" w:cs="Times New Roman"/>
          <w:sz w:val="24"/>
          <w:szCs w:val="24"/>
        </w:rPr>
        <w:t>Portando</w:t>
      </w:r>
      <w:r w:rsidR="00BF1C3B" w:rsidRPr="003C4C93">
        <w:rPr>
          <w:rFonts w:ascii="Times New Roman" w:hAnsi="Times New Roman" w:cs="Times New Roman"/>
          <w:sz w:val="24"/>
          <w:szCs w:val="24"/>
        </w:rPr>
        <w:t xml:space="preserve"> fica claro para a comissão que </w:t>
      </w:r>
      <w:r w:rsidRPr="003C4C93">
        <w:rPr>
          <w:rFonts w:ascii="Times New Roman" w:hAnsi="Times New Roman" w:cs="Times New Roman"/>
          <w:sz w:val="24"/>
          <w:szCs w:val="24"/>
        </w:rPr>
        <w:t>o documento apresentado para comprovação de acervo técnico tem informações em divergência</w:t>
      </w:r>
      <w:r w:rsidRPr="003C4C93">
        <w:rPr>
          <w:rFonts w:ascii="Times New Roman" w:hAnsi="Times New Roman" w:cs="Times New Roman"/>
          <w:sz w:val="24"/>
          <w:szCs w:val="24"/>
        </w:rPr>
        <w:br/>
        <w:t>com o real executado e essas inf</w:t>
      </w:r>
      <w:r w:rsidR="00BF1C3B" w:rsidRPr="003C4C93">
        <w:rPr>
          <w:rFonts w:ascii="Times New Roman" w:hAnsi="Times New Roman" w:cs="Times New Roman"/>
          <w:sz w:val="24"/>
          <w:szCs w:val="24"/>
        </w:rPr>
        <w:t xml:space="preserve">ormações podem ter favorecido a classificação da empresa no </w:t>
      </w:r>
      <w:r w:rsidRPr="003C4C93">
        <w:rPr>
          <w:rFonts w:ascii="Times New Roman" w:hAnsi="Times New Roman" w:cs="Times New Roman"/>
          <w:sz w:val="24"/>
          <w:szCs w:val="24"/>
        </w:rPr>
        <w:t xml:space="preserve">processo licitatório. Desse </w:t>
      </w:r>
      <w:r w:rsidR="00BF1C3B" w:rsidRPr="003C4C93">
        <w:rPr>
          <w:rFonts w:ascii="Times New Roman" w:hAnsi="Times New Roman" w:cs="Times New Roman"/>
          <w:sz w:val="24"/>
          <w:szCs w:val="24"/>
        </w:rPr>
        <w:t xml:space="preserve">modo a comissão sugere: </w:t>
      </w:r>
    </w:p>
    <w:p w:rsidR="00BF1C3B" w:rsidRPr="003C4C93" w:rsidRDefault="001A4BA2"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 A nulidade dos contratos com a administração municipal.</w:t>
      </w:r>
      <w:r w:rsidRPr="003C4C93">
        <w:rPr>
          <w:rFonts w:ascii="Times New Roman" w:hAnsi="Times New Roman" w:cs="Times New Roman"/>
          <w:sz w:val="24"/>
          <w:szCs w:val="24"/>
        </w:rPr>
        <w:br/>
        <w:t>b) A quitação dos serviços executados pelo contratado</w:t>
      </w:r>
      <w:r w:rsidR="00BF1C3B" w:rsidRPr="003C4C93">
        <w:rPr>
          <w:rFonts w:ascii="Times New Roman" w:hAnsi="Times New Roman" w:cs="Times New Roman"/>
          <w:sz w:val="24"/>
          <w:szCs w:val="24"/>
        </w:rPr>
        <w:t xml:space="preserve"> conforme planilha em anexo que </w:t>
      </w:r>
      <w:r w:rsidRPr="003C4C93">
        <w:rPr>
          <w:rFonts w:ascii="Times New Roman" w:hAnsi="Times New Roman" w:cs="Times New Roman"/>
          <w:sz w:val="24"/>
          <w:szCs w:val="24"/>
        </w:rPr>
        <w:t>totaliza R$ 39.488,94. Como a medição é da data de</w:t>
      </w:r>
      <w:r w:rsidR="00BF1C3B" w:rsidRPr="003C4C93">
        <w:rPr>
          <w:rFonts w:ascii="Times New Roman" w:hAnsi="Times New Roman" w:cs="Times New Roman"/>
          <w:sz w:val="24"/>
          <w:szCs w:val="24"/>
        </w:rPr>
        <w:t xml:space="preserve"> 13/03/2023 é sugerida que seja </w:t>
      </w:r>
      <w:r w:rsidRPr="003C4C93">
        <w:rPr>
          <w:rFonts w:ascii="Times New Roman" w:hAnsi="Times New Roman" w:cs="Times New Roman"/>
          <w:sz w:val="24"/>
          <w:szCs w:val="24"/>
        </w:rPr>
        <w:t>aplicada a correção monetária do valor para a data atu</w:t>
      </w:r>
      <w:r w:rsidR="00BF1C3B" w:rsidRPr="003C4C93">
        <w:rPr>
          <w:rFonts w:ascii="Times New Roman" w:hAnsi="Times New Roman" w:cs="Times New Roman"/>
          <w:sz w:val="24"/>
          <w:szCs w:val="24"/>
        </w:rPr>
        <w:t xml:space="preserve">al aplicando como índice a taxa </w:t>
      </w:r>
      <w:r w:rsidRPr="003C4C93">
        <w:rPr>
          <w:rFonts w:ascii="Times New Roman" w:hAnsi="Times New Roman" w:cs="Times New Roman"/>
          <w:sz w:val="24"/>
          <w:szCs w:val="24"/>
        </w:rPr>
        <w:t>SELIC, chegando ao montante final de R$ 43.351,81.</w:t>
      </w:r>
    </w:p>
    <w:p w:rsidR="00BF1C3B" w:rsidRPr="003C4C93" w:rsidRDefault="001A4BA2" w:rsidP="003059CC">
      <w:pPr>
        <w:spacing w:after="12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c) Aplicação de multa correspondente a 7,22% sobre o</w:t>
      </w:r>
      <w:r w:rsidR="00BF1C3B" w:rsidRPr="003C4C93">
        <w:rPr>
          <w:rFonts w:ascii="Times New Roman" w:hAnsi="Times New Roman" w:cs="Times New Roman"/>
          <w:sz w:val="24"/>
          <w:szCs w:val="24"/>
        </w:rPr>
        <w:t xml:space="preserve">s serviços não executados. Esse </w:t>
      </w:r>
      <w:r w:rsidRPr="003C4C93">
        <w:rPr>
          <w:rFonts w:ascii="Times New Roman" w:hAnsi="Times New Roman" w:cs="Times New Roman"/>
          <w:sz w:val="24"/>
          <w:szCs w:val="24"/>
        </w:rPr>
        <w:t>percentual corresponde a diferença entre a planilha b</w:t>
      </w:r>
      <w:r w:rsidR="00BF1C3B" w:rsidRPr="003C4C93">
        <w:rPr>
          <w:rFonts w:ascii="Times New Roman" w:hAnsi="Times New Roman" w:cs="Times New Roman"/>
          <w:sz w:val="24"/>
          <w:szCs w:val="24"/>
        </w:rPr>
        <w:t xml:space="preserve">ase (R$ 554.462,50) do processo </w:t>
      </w:r>
      <w:r w:rsidRPr="003C4C93">
        <w:rPr>
          <w:rFonts w:ascii="Times New Roman" w:hAnsi="Times New Roman" w:cs="Times New Roman"/>
          <w:sz w:val="24"/>
          <w:szCs w:val="24"/>
        </w:rPr>
        <w:t>licitatório e a planilha atualizada para ser lançada em</w:t>
      </w:r>
      <w:r w:rsidR="00BF1C3B" w:rsidRPr="003C4C93">
        <w:rPr>
          <w:rFonts w:ascii="Times New Roman" w:hAnsi="Times New Roman" w:cs="Times New Roman"/>
          <w:sz w:val="24"/>
          <w:szCs w:val="24"/>
        </w:rPr>
        <w:t xml:space="preserve"> nova licitação (R$594.564,60), </w:t>
      </w:r>
      <w:r w:rsidRPr="003C4C93">
        <w:rPr>
          <w:rFonts w:ascii="Times New Roman" w:hAnsi="Times New Roman" w:cs="Times New Roman"/>
          <w:sz w:val="24"/>
          <w:szCs w:val="24"/>
        </w:rPr>
        <w:t>conforme planilha em anexo. Como a proposta vencedora da empresa foi de R$</w:t>
      </w:r>
      <w:r w:rsidRPr="003C4C93">
        <w:rPr>
          <w:rFonts w:ascii="Times New Roman" w:hAnsi="Times New Roman" w:cs="Times New Roman"/>
          <w:sz w:val="24"/>
          <w:szCs w:val="24"/>
        </w:rPr>
        <w:br/>
        <w:t>512.917,00 e desse total foram executados R$ 39.48</w:t>
      </w:r>
      <w:r w:rsidR="00BF1C3B" w:rsidRPr="003C4C93">
        <w:rPr>
          <w:rFonts w:ascii="Times New Roman" w:hAnsi="Times New Roman" w:cs="Times New Roman"/>
          <w:sz w:val="24"/>
          <w:szCs w:val="24"/>
        </w:rPr>
        <w:t xml:space="preserve">8,94, resta a diferença de </w:t>
      </w:r>
      <w:r w:rsidRPr="003C4C93">
        <w:rPr>
          <w:rFonts w:ascii="Times New Roman" w:hAnsi="Times New Roman" w:cs="Times New Roman"/>
          <w:sz w:val="24"/>
          <w:szCs w:val="24"/>
        </w:rPr>
        <w:t>R$473.428,06, aplicando a correção de 7,22% sobre e</w:t>
      </w:r>
      <w:r w:rsidR="00BF1C3B" w:rsidRPr="003C4C93">
        <w:rPr>
          <w:rFonts w:ascii="Times New Roman" w:hAnsi="Times New Roman" w:cs="Times New Roman"/>
          <w:sz w:val="24"/>
          <w:szCs w:val="24"/>
        </w:rPr>
        <w:t xml:space="preserve">sse valor, conforme justificado </w:t>
      </w:r>
      <w:r w:rsidRPr="003C4C93">
        <w:rPr>
          <w:rFonts w:ascii="Times New Roman" w:hAnsi="Times New Roman" w:cs="Times New Roman"/>
          <w:sz w:val="24"/>
          <w:szCs w:val="24"/>
        </w:rPr>
        <w:t>anteriormente</w:t>
      </w:r>
      <w:r w:rsidR="00BF1C3B" w:rsidRPr="003C4C93">
        <w:rPr>
          <w:rFonts w:ascii="Times New Roman" w:hAnsi="Times New Roman" w:cs="Times New Roman"/>
          <w:sz w:val="24"/>
          <w:szCs w:val="24"/>
        </w:rPr>
        <w:t xml:space="preserve">, tem-se o valor total de multa </w:t>
      </w:r>
      <w:r w:rsidRPr="003C4C93">
        <w:rPr>
          <w:rFonts w:ascii="Times New Roman" w:hAnsi="Times New Roman" w:cs="Times New Roman"/>
          <w:sz w:val="24"/>
          <w:szCs w:val="24"/>
        </w:rPr>
        <w:t>a ser aplicado de R$ 34.181,50.</w:t>
      </w:r>
    </w:p>
    <w:p w:rsidR="003059CC" w:rsidRPr="003C4C93" w:rsidRDefault="003059CC" w:rsidP="003059CC">
      <w:pPr>
        <w:ind w:left="1701"/>
        <w:jc w:val="both"/>
        <w:rPr>
          <w:rFonts w:ascii="Times New Roman" w:hAnsi="Times New Roman" w:cs="Times New Roman"/>
          <w:sz w:val="24"/>
          <w:szCs w:val="24"/>
        </w:rPr>
      </w:pPr>
    </w:p>
    <w:p w:rsidR="00472806" w:rsidRPr="003C4C93" w:rsidRDefault="00B12243"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Das provas acostadas nos autos, </w:t>
      </w:r>
      <w:r w:rsidR="000E6CC3" w:rsidRPr="003C4C93">
        <w:rPr>
          <w:rFonts w:ascii="Times New Roman" w:hAnsi="Times New Roman" w:cs="Times New Roman"/>
          <w:sz w:val="24"/>
          <w:szCs w:val="24"/>
        </w:rPr>
        <w:t>é possível verificar que a obra</w:t>
      </w:r>
      <w:r w:rsidR="003C4C93">
        <w:rPr>
          <w:rFonts w:ascii="Times New Roman" w:hAnsi="Times New Roman" w:cs="Times New Roman"/>
          <w:sz w:val="24"/>
          <w:szCs w:val="24"/>
        </w:rPr>
        <w:t>,</w:t>
      </w:r>
      <w:r w:rsidR="000E6CC3" w:rsidRPr="003C4C93">
        <w:rPr>
          <w:rFonts w:ascii="Times New Roman" w:hAnsi="Times New Roman" w:cs="Times New Roman"/>
          <w:sz w:val="24"/>
          <w:szCs w:val="24"/>
        </w:rPr>
        <w:t xml:space="preserve"> no montante referido no atestado de capacidade técnica e na certidão de acervo técnico</w:t>
      </w:r>
      <w:r w:rsidR="003059CC" w:rsidRPr="003C4C93">
        <w:rPr>
          <w:rFonts w:ascii="Times New Roman" w:hAnsi="Times New Roman" w:cs="Times New Roman"/>
          <w:sz w:val="24"/>
          <w:szCs w:val="24"/>
        </w:rPr>
        <w:t>,</w:t>
      </w:r>
      <w:r w:rsidR="000E6CC3" w:rsidRPr="003C4C93">
        <w:rPr>
          <w:rFonts w:ascii="Times New Roman" w:hAnsi="Times New Roman" w:cs="Times New Roman"/>
          <w:sz w:val="24"/>
          <w:szCs w:val="24"/>
        </w:rPr>
        <w:t xml:space="preserve"> </w:t>
      </w:r>
      <w:r w:rsidRPr="003C4C93">
        <w:rPr>
          <w:rFonts w:ascii="Times New Roman" w:hAnsi="Times New Roman" w:cs="Times New Roman"/>
          <w:sz w:val="24"/>
          <w:szCs w:val="24"/>
        </w:rPr>
        <w:t xml:space="preserve">de fato não </w:t>
      </w:r>
      <w:r w:rsidR="000E6CC3" w:rsidRPr="003C4C93">
        <w:rPr>
          <w:rFonts w:ascii="Times New Roman" w:hAnsi="Times New Roman" w:cs="Times New Roman"/>
          <w:sz w:val="24"/>
          <w:szCs w:val="24"/>
        </w:rPr>
        <w:t>existiu.</w:t>
      </w:r>
    </w:p>
    <w:p w:rsidR="00E46C70" w:rsidRDefault="00E46C70"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Considerando que a contratada se habilitou no certame apresentando documentos que indicariam a exe</w:t>
      </w:r>
      <w:r w:rsidR="001C746A" w:rsidRPr="003C4C93">
        <w:rPr>
          <w:rFonts w:ascii="Times New Roman" w:hAnsi="Times New Roman" w:cs="Times New Roman"/>
          <w:sz w:val="24"/>
          <w:szCs w:val="24"/>
        </w:rPr>
        <w:t xml:space="preserve">cução de obra de porte similar </w:t>
      </w:r>
      <w:r w:rsidRPr="003C4C93">
        <w:rPr>
          <w:rFonts w:ascii="Times New Roman" w:hAnsi="Times New Roman" w:cs="Times New Roman"/>
          <w:sz w:val="24"/>
          <w:szCs w:val="24"/>
        </w:rPr>
        <w:t>que</w:t>
      </w:r>
      <w:r w:rsidR="001C746A" w:rsidRPr="003C4C93">
        <w:rPr>
          <w:rFonts w:ascii="Times New Roman" w:hAnsi="Times New Roman" w:cs="Times New Roman"/>
          <w:sz w:val="24"/>
          <w:szCs w:val="24"/>
        </w:rPr>
        <w:t>,</w:t>
      </w:r>
      <w:r w:rsidRPr="003C4C93">
        <w:rPr>
          <w:rFonts w:ascii="Times New Roman" w:hAnsi="Times New Roman" w:cs="Times New Roman"/>
          <w:sz w:val="24"/>
          <w:szCs w:val="24"/>
        </w:rPr>
        <w:t xml:space="preserve"> n</w:t>
      </w:r>
      <w:r w:rsidR="00B12243" w:rsidRPr="003C4C93">
        <w:rPr>
          <w:rFonts w:ascii="Times New Roman" w:hAnsi="Times New Roman" w:cs="Times New Roman"/>
          <w:sz w:val="24"/>
          <w:szCs w:val="24"/>
        </w:rPr>
        <w:t>a</w:t>
      </w:r>
      <w:r w:rsidRPr="003C4C93">
        <w:rPr>
          <w:rFonts w:ascii="Times New Roman" w:hAnsi="Times New Roman" w:cs="Times New Roman"/>
          <w:sz w:val="24"/>
          <w:szCs w:val="24"/>
        </w:rPr>
        <w:t xml:space="preserve"> verdade</w:t>
      </w:r>
      <w:r w:rsidR="001C746A" w:rsidRPr="003C4C93">
        <w:rPr>
          <w:rFonts w:ascii="Times New Roman" w:hAnsi="Times New Roman" w:cs="Times New Roman"/>
          <w:sz w:val="24"/>
          <w:szCs w:val="24"/>
        </w:rPr>
        <w:t>, nunca foi</w:t>
      </w:r>
      <w:r w:rsidR="00764911" w:rsidRPr="003C4C93">
        <w:rPr>
          <w:rFonts w:ascii="Times New Roman" w:hAnsi="Times New Roman" w:cs="Times New Roman"/>
          <w:sz w:val="24"/>
          <w:szCs w:val="24"/>
        </w:rPr>
        <w:t xml:space="preserve"> </w:t>
      </w:r>
      <w:r w:rsidRPr="003C4C93">
        <w:rPr>
          <w:rFonts w:ascii="Times New Roman" w:hAnsi="Times New Roman" w:cs="Times New Roman"/>
          <w:sz w:val="24"/>
          <w:szCs w:val="24"/>
        </w:rPr>
        <w:t>executada, con</w:t>
      </w:r>
      <w:r w:rsidR="00B12243" w:rsidRPr="003C4C93">
        <w:rPr>
          <w:rFonts w:ascii="Times New Roman" w:hAnsi="Times New Roman" w:cs="Times New Roman"/>
          <w:sz w:val="24"/>
          <w:szCs w:val="24"/>
        </w:rPr>
        <w:t>s</w:t>
      </w:r>
      <w:r w:rsidRPr="003C4C93">
        <w:rPr>
          <w:rFonts w:ascii="Times New Roman" w:hAnsi="Times New Roman" w:cs="Times New Roman"/>
          <w:sz w:val="24"/>
          <w:szCs w:val="24"/>
        </w:rPr>
        <w:t xml:space="preserve">tata-se a existência vício insanável </w:t>
      </w:r>
      <w:r w:rsidR="00B12243" w:rsidRPr="003C4C93">
        <w:rPr>
          <w:rFonts w:ascii="Times New Roman" w:hAnsi="Times New Roman" w:cs="Times New Roman"/>
          <w:sz w:val="24"/>
          <w:szCs w:val="24"/>
        </w:rPr>
        <w:t xml:space="preserve">que induziu a erro a </w:t>
      </w:r>
      <w:r w:rsidRPr="003C4C93">
        <w:rPr>
          <w:rFonts w:ascii="Times New Roman" w:hAnsi="Times New Roman" w:cs="Times New Roman"/>
          <w:sz w:val="24"/>
          <w:szCs w:val="24"/>
        </w:rPr>
        <w:t>Comissão de Licitação</w:t>
      </w:r>
      <w:r w:rsidR="00B12243" w:rsidRPr="003C4C93">
        <w:rPr>
          <w:rFonts w:ascii="Times New Roman" w:hAnsi="Times New Roman" w:cs="Times New Roman"/>
          <w:sz w:val="24"/>
          <w:szCs w:val="24"/>
        </w:rPr>
        <w:t xml:space="preserve"> e maculou a decisão que lhe deferiu a habilitação no</w:t>
      </w:r>
      <w:r w:rsidR="002F1C67" w:rsidRPr="003C4C93">
        <w:rPr>
          <w:rFonts w:ascii="Times New Roman" w:hAnsi="Times New Roman" w:cs="Times New Roman"/>
          <w:sz w:val="24"/>
          <w:szCs w:val="24"/>
        </w:rPr>
        <w:t xml:space="preserve"> processo licitatório e permitiu</w:t>
      </w:r>
      <w:r w:rsidRPr="003C4C93">
        <w:rPr>
          <w:rFonts w:ascii="Times New Roman" w:hAnsi="Times New Roman" w:cs="Times New Roman"/>
          <w:sz w:val="24"/>
          <w:szCs w:val="24"/>
        </w:rPr>
        <w:t xml:space="preserve"> contratar com o Município de Catanduvas.</w:t>
      </w:r>
    </w:p>
    <w:p w:rsidR="00E46C70" w:rsidRPr="003C4C93" w:rsidRDefault="00E46C70" w:rsidP="003C4C93">
      <w:pPr>
        <w:spacing w:after="12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Sem os citados documentos de conteúdo </w:t>
      </w:r>
      <w:r w:rsidR="00F30EB9" w:rsidRPr="003C4C93">
        <w:rPr>
          <w:rFonts w:ascii="Times New Roman" w:hAnsi="Times New Roman" w:cs="Times New Roman"/>
          <w:sz w:val="24"/>
          <w:szCs w:val="24"/>
        </w:rPr>
        <w:t xml:space="preserve">que </w:t>
      </w:r>
      <w:r w:rsidR="00BF1C3B" w:rsidRPr="003C4C93">
        <w:rPr>
          <w:rFonts w:ascii="Times New Roman" w:hAnsi="Times New Roman" w:cs="Times New Roman"/>
          <w:sz w:val="24"/>
          <w:szCs w:val="24"/>
        </w:rPr>
        <w:t>não condiz</w:t>
      </w:r>
      <w:r w:rsidR="00F30EB9" w:rsidRPr="003C4C93">
        <w:rPr>
          <w:rFonts w:ascii="Times New Roman" w:hAnsi="Times New Roman" w:cs="Times New Roman"/>
          <w:sz w:val="24"/>
          <w:szCs w:val="24"/>
        </w:rPr>
        <w:t>em</w:t>
      </w:r>
      <w:r w:rsidR="00BF1C3B" w:rsidRPr="003C4C93">
        <w:rPr>
          <w:rFonts w:ascii="Times New Roman" w:hAnsi="Times New Roman" w:cs="Times New Roman"/>
          <w:sz w:val="24"/>
          <w:szCs w:val="24"/>
        </w:rPr>
        <w:t xml:space="preserve"> com o quantitativo d</w:t>
      </w:r>
      <w:r w:rsidR="002B3A89" w:rsidRPr="003C4C93">
        <w:rPr>
          <w:rFonts w:ascii="Times New Roman" w:hAnsi="Times New Roman" w:cs="Times New Roman"/>
          <w:sz w:val="24"/>
          <w:szCs w:val="24"/>
        </w:rPr>
        <w:t>a obra executada</w:t>
      </w:r>
      <w:r w:rsidRPr="003C4C93">
        <w:rPr>
          <w:rFonts w:ascii="Times New Roman" w:hAnsi="Times New Roman" w:cs="Times New Roman"/>
          <w:sz w:val="24"/>
          <w:szCs w:val="24"/>
        </w:rPr>
        <w:t>, a contratada não lograria êxito na licitação e não teria</w:t>
      </w:r>
      <w:r w:rsidR="00181FF6" w:rsidRPr="003C4C93">
        <w:rPr>
          <w:rFonts w:ascii="Times New Roman" w:hAnsi="Times New Roman" w:cs="Times New Roman"/>
          <w:sz w:val="24"/>
          <w:szCs w:val="24"/>
        </w:rPr>
        <w:t xml:space="preserve"> contratado com a Administração</w:t>
      </w:r>
      <w:r w:rsidR="002B3A89" w:rsidRPr="003C4C93">
        <w:rPr>
          <w:rFonts w:ascii="Times New Roman" w:hAnsi="Times New Roman" w:cs="Times New Roman"/>
          <w:sz w:val="24"/>
          <w:szCs w:val="24"/>
        </w:rPr>
        <w:t>. Por isso,</w:t>
      </w:r>
      <w:r w:rsidR="00181FF6" w:rsidRPr="003C4C93">
        <w:rPr>
          <w:rFonts w:ascii="Times New Roman" w:hAnsi="Times New Roman" w:cs="Times New Roman"/>
          <w:sz w:val="24"/>
          <w:szCs w:val="24"/>
        </w:rPr>
        <w:t xml:space="preserve"> não fosse</w:t>
      </w:r>
      <w:r w:rsidR="00BF1C3B" w:rsidRPr="003C4C93">
        <w:rPr>
          <w:rFonts w:ascii="Times New Roman" w:hAnsi="Times New Roman" w:cs="Times New Roman"/>
          <w:sz w:val="24"/>
          <w:szCs w:val="24"/>
        </w:rPr>
        <w:t>m</w:t>
      </w:r>
      <w:r w:rsidR="00181FF6" w:rsidRPr="003C4C93">
        <w:rPr>
          <w:rFonts w:ascii="Times New Roman" w:hAnsi="Times New Roman" w:cs="Times New Roman"/>
          <w:sz w:val="24"/>
          <w:szCs w:val="24"/>
        </w:rPr>
        <w:t xml:space="preserve"> tais documentos, </w:t>
      </w:r>
      <w:r w:rsidR="00BF1C3B" w:rsidRPr="003C4C93">
        <w:rPr>
          <w:rFonts w:ascii="Times New Roman" w:hAnsi="Times New Roman" w:cs="Times New Roman"/>
          <w:sz w:val="24"/>
          <w:szCs w:val="24"/>
        </w:rPr>
        <w:t>seria</w:t>
      </w:r>
      <w:r w:rsidR="00181FF6" w:rsidRPr="003C4C93">
        <w:rPr>
          <w:rFonts w:ascii="Times New Roman" w:hAnsi="Times New Roman" w:cs="Times New Roman"/>
          <w:sz w:val="24"/>
          <w:szCs w:val="24"/>
        </w:rPr>
        <w:t xml:space="preserve"> desclassificada.</w:t>
      </w:r>
    </w:p>
    <w:p w:rsidR="00181FF6" w:rsidRPr="003C4C93" w:rsidRDefault="00181FF6"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Estabelece a Lei nº 8.666/93:</w:t>
      </w:r>
    </w:p>
    <w:p w:rsidR="00714D16" w:rsidRPr="003C4C93" w:rsidRDefault="00181FF6"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Art. 43</w:t>
      </w:r>
      <w:r w:rsidR="00714D16" w:rsidRPr="003C4C93">
        <w:rPr>
          <w:rFonts w:ascii="Times New Roman" w:hAnsi="Times New Roman" w:cs="Times New Roman"/>
          <w:sz w:val="24"/>
          <w:szCs w:val="24"/>
        </w:rPr>
        <w:t>.</w:t>
      </w:r>
      <w:r w:rsidRPr="003C4C93">
        <w:rPr>
          <w:rFonts w:ascii="Times New Roman" w:hAnsi="Times New Roman" w:cs="Times New Roman"/>
          <w:sz w:val="24"/>
          <w:szCs w:val="24"/>
        </w:rPr>
        <w:t xml:space="preserve"> A licitação será processada e julgada com observância dos seguintes procedimentos: </w:t>
      </w:r>
    </w:p>
    <w:p w:rsidR="00714D16" w:rsidRPr="003C4C93" w:rsidRDefault="00181FF6" w:rsidP="00E25996">
      <w:pPr>
        <w:spacing w:after="0" w:line="240" w:lineRule="auto"/>
        <w:ind w:left="1701"/>
        <w:jc w:val="both"/>
        <w:rPr>
          <w:rFonts w:ascii="Times New Roman" w:hAnsi="Times New Roman" w:cs="Times New Roman"/>
          <w:b/>
          <w:sz w:val="24"/>
          <w:szCs w:val="24"/>
        </w:rPr>
      </w:pPr>
      <w:r w:rsidRPr="003C4C93">
        <w:rPr>
          <w:rFonts w:ascii="Times New Roman" w:hAnsi="Times New Roman" w:cs="Times New Roman"/>
          <w:sz w:val="24"/>
          <w:szCs w:val="24"/>
        </w:rPr>
        <w:t xml:space="preserve">(...) </w:t>
      </w:r>
      <w:r w:rsidRPr="003C4C93">
        <w:rPr>
          <w:rFonts w:ascii="Times New Roman" w:hAnsi="Times New Roman" w:cs="Times New Roman"/>
          <w:b/>
          <w:sz w:val="24"/>
          <w:szCs w:val="24"/>
        </w:rPr>
        <w:t xml:space="preserve"> </w:t>
      </w:r>
    </w:p>
    <w:p w:rsidR="00181FF6" w:rsidRPr="003C4C93" w:rsidRDefault="00181FF6" w:rsidP="00E25996">
      <w:pPr>
        <w:spacing w:after="0" w:line="240" w:lineRule="auto"/>
        <w:ind w:left="1701"/>
        <w:jc w:val="both"/>
        <w:rPr>
          <w:rFonts w:ascii="Times New Roman" w:hAnsi="Times New Roman" w:cs="Times New Roman"/>
          <w:b/>
          <w:sz w:val="24"/>
          <w:szCs w:val="24"/>
        </w:rPr>
      </w:pPr>
      <w:r w:rsidRPr="003C4C93">
        <w:rPr>
          <w:rFonts w:ascii="Times New Roman" w:hAnsi="Times New Roman" w:cs="Times New Roman"/>
          <w:b/>
          <w:sz w:val="24"/>
          <w:szCs w:val="24"/>
        </w:rPr>
        <w:t xml:space="preserve">§5º. </w:t>
      </w:r>
      <w:r w:rsidRPr="003C4C93">
        <w:rPr>
          <w:rFonts w:ascii="Times New Roman" w:hAnsi="Times New Roman" w:cs="Times New Roman"/>
          <w:sz w:val="24"/>
          <w:szCs w:val="24"/>
        </w:rPr>
        <w:t xml:space="preserve">Ultrapassada a fase de habilitação dos concorrentes e abertas as propostas, não cabe desclassifica-los por motivo relacionado com a habilitação, </w:t>
      </w:r>
      <w:r w:rsidRPr="003C4C93">
        <w:rPr>
          <w:rFonts w:ascii="Times New Roman" w:hAnsi="Times New Roman" w:cs="Times New Roman"/>
          <w:b/>
          <w:sz w:val="24"/>
          <w:szCs w:val="24"/>
        </w:rPr>
        <w:t>salvo em razão de fatos supervenientes ou só conhecidos após o julgamento.</w:t>
      </w:r>
    </w:p>
    <w:p w:rsidR="00E25996" w:rsidRPr="003C4C93" w:rsidRDefault="00E25996" w:rsidP="00E25996">
      <w:pPr>
        <w:spacing w:after="0" w:line="240" w:lineRule="auto"/>
        <w:ind w:left="1701"/>
        <w:jc w:val="both"/>
        <w:rPr>
          <w:rFonts w:ascii="Times New Roman" w:hAnsi="Times New Roman" w:cs="Times New Roman"/>
          <w:b/>
          <w:sz w:val="24"/>
          <w:szCs w:val="24"/>
        </w:rPr>
      </w:pPr>
    </w:p>
    <w:p w:rsidR="00181FF6" w:rsidRPr="003C4C93" w:rsidRDefault="003C4C93" w:rsidP="00AD2FF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Assim</w:t>
      </w:r>
      <w:r w:rsidR="00181FF6" w:rsidRPr="003C4C93">
        <w:rPr>
          <w:rFonts w:ascii="Times New Roman" w:hAnsi="Times New Roman" w:cs="Times New Roman"/>
          <w:sz w:val="24"/>
          <w:szCs w:val="24"/>
        </w:rPr>
        <w:t>, tendo chegado ao conhecimento da Administração</w:t>
      </w:r>
      <w:r>
        <w:rPr>
          <w:rFonts w:ascii="Times New Roman" w:hAnsi="Times New Roman" w:cs="Times New Roman"/>
          <w:sz w:val="24"/>
          <w:szCs w:val="24"/>
        </w:rPr>
        <w:t>, mesmo posteriormente,</w:t>
      </w:r>
      <w:r w:rsidR="00181FF6" w:rsidRPr="003C4C93">
        <w:rPr>
          <w:rFonts w:ascii="Times New Roman" w:hAnsi="Times New Roman" w:cs="Times New Roman"/>
          <w:sz w:val="24"/>
          <w:szCs w:val="24"/>
        </w:rPr>
        <w:t xml:space="preserve"> fato </w:t>
      </w:r>
      <w:r w:rsidR="00AD2FF7" w:rsidRPr="003C4C93">
        <w:rPr>
          <w:rFonts w:ascii="Times New Roman" w:hAnsi="Times New Roman" w:cs="Times New Roman"/>
          <w:sz w:val="24"/>
          <w:szCs w:val="24"/>
        </w:rPr>
        <w:t xml:space="preserve">que indica que a contratada deveria ter sido desclassificada, </w:t>
      </w:r>
      <w:r w:rsidR="00714D16" w:rsidRPr="003C4C93">
        <w:rPr>
          <w:rFonts w:ascii="Times New Roman" w:hAnsi="Times New Roman" w:cs="Times New Roman"/>
          <w:sz w:val="24"/>
          <w:szCs w:val="24"/>
        </w:rPr>
        <w:t xml:space="preserve">fato </w:t>
      </w:r>
      <w:r w:rsidR="00B12243" w:rsidRPr="003C4C93">
        <w:rPr>
          <w:rFonts w:ascii="Times New Roman" w:hAnsi="Times New Roman" w:cs="Times New Roman"/>
          <w:sz w:val="24"/>
          <w:szCs w:val="24"/>
        </w:rPr>
        <w:t xml:space="preserve">devidamente apreciado sob o crivo do contraditório e da ampla defesa, </w:t>
      </w:r>
      <w:r w:rsidR="00AD2FF7" w:rsidRPr="003C4C93">
        <w:rPr>
          <w:rFonts w:ascii="Times New Roman" w:hAnsi="Times New Roman" w:cs="Times New Roman"/>
          <w:sz w:val="24"/>
          <w:szCs w:val="24"/>
        </w:rPr>
        <w:t>impõe</w:t>
      </w:r>
      <w:r w:rsidR="00E330C1" w:rsidRPr="003C4C93">
        <w:rPr>
          <w:rFonts w:ascii="Times New Roman" w:hAnsi="Times New Roman" w:cs="Times New Roman"/>
          <w:sz w:val="24"/>
          <w:szCs w:val="24"/>
        </w:rPr>
        <w:t>-se</w:t>
      </w:r>
      <w:r w:rsidR="00AD2FF7" w:rsidRPr="003C4C93">
        <w:rPr>
          <w:rFonts w:ascii="Times New Roman" w:hAnsi="Times New Roman" w:cs="Times New Roman"/>
          <w:sz w:val="24"/>
          <w:szCs w:val="24"/>
        </w:rPr>
        <w:t xml:space="preserve"> a desconstituição de todos os atos </w:t>
      </w:r>
      <w:r w:rsidR="00714D16" w:rsidRPr="003C4C93">
        <w:rPr>
          <w:rFonts w:ascii="Times New Roman" w:hAnsi="Times New Roman" w:cs="Times New Roman"/>
          <w:sz w:val="24"/>
          <w:szCs w:val="24"/>
        </w:rPr>
        <w:t>d</w:t>
      </w:r>
      <w:r w:rsidR="00AD2FF7" w:rsidRPr="003C4C93">
        <w:rPr>
          <w:rFonts w:ascii="Times New Roman" w:hAnsi="Times New Roman" w:cs="Times New Roman"/>
          <w:sz w:val="24"/>
          <w:szCs w:val="24"/>
        </w:rPr>
        <w:t>o referido certame, porquanto eivados pelo vício</w:t>
      </w:r>
      <w:r w:rsidR="00714D16" w:rsidRPr="003C4C93">
        <w:rPr>
          <w:rFonts w:ascii="Times New Roman" w:hAnsi="Times New Roman" w:cs="Times New Roman"/>
          <w:sz w:val="24"/>
          <w:szCs w:val="24"/>
        </w:rPr>
        <w:t xml:space="preserve"> insanável</w:t>
      </w:r>
      <w:r w:rsidR="00AD2FF7" w:rsidRPr="003C4C93">
        <w:rPr>
          <w:rFonts w:ascii="Times New Roman" w:hAnsi="Times New Roman" w:cs="Times New Roman"/>
          <w:sz w:val="24"/>
          <w:szCs w:val="24"/>
        </w:rPr>
        <w:t xml:space="preserve"> da ilegalidade.</w:t>
      </w:r>
    </w:p>
    <w:p w:rsidR="00E330C1" w:rsidRPr="003C4C93" w:rsidRDefault="00E330C1" w:rsidP="00AD2FF7">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A nulidade </w:t>
      </w:r>
      <w:r w:rsidR="00714D16" w:rsidRPr="003C4C93">
        <w:rPr>
          <w:rFonts w:ascii="Times New Roman" w:hAnsi="Times New Roman" w:cs="Times New Roman"/>
          <w:sz w:val="24"/>
          <w:szCs w:val="24"/>
        </w:rPr>
        <w:t>do certame</w:t>
      </w:r>
      <w:r w:rsidRPr="003C4C93">
        <w:rPr>
          <w:rFonts w:ascii="Times New Roman" w:hAnsi="Times New Roman" w:cs="Times New Roman"/>
          <w:sz w:val="24"/>
          <w:szCs w:val="24"/>
        </w:rPr>
        <w:t xml:space="preserve"> também afeta o contrato administrativo decorrente, de modo que também deve ser declarado nulo.</w:t>
      </w:r>
    </w:p>
    <w:p w:rsidR="00AD2FF7" w:rsidRPr="003C4C93" w:rsidRDefault="00E330C1" w:rsidP="00AD2FF7">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Prescreve</w:t>
      </w:r>
      <w:r w:rsidR="00AD2FF7" w:rsidRPr="003C4C93">
        <w:rPr>
          <w:rFonts w:ascii="Times New Roman" w:hAnsi="Times New Roman" w:cs="Times New Roman"/>
          <w:sz w:val="24"/>
          <w:szCs w:val="24"/>
        </w:rPr>
        <w:t xml:space="preserve"> o art. 49 da Lei nº 8.666/93:</w:t>
      </w:r>
    </w:p>
    <w:p w:rsidR="0042362F" w:rsidRPr="003C4C93" w:rsidRDefault="00181FF6" w:rsidP="00DE6DBB">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Art. 49</w:t>
      </w:r>
      <w:r w:rsidRPr="003C4C93">
        <w:rPr>
          <w:rFonts w:ascii="Times New Roman" w:hAnsi="Times New Roman" w:cs="Times New Roman"/>
          <w:b/>
          <w:sz w:val="24"/>
          <w:szCs w:val="24"/>
        </w:rPr>
        <w:t xml:space="preserve"> </w:t>
      </w:r>
      <w:r w:rsidRPr="003C4C93">
        <w:rPr>
          <w:rFonts w:ascii="Times New Roman" w:hAnsi="Times New Roman" w:cs="Times New Roman"/>
          <w:sz w:val="24"/>
          <w:szCs w:val="24"/>
        </w:rPr>
        <w:t xml:space="preserve">A autoridade competente para a aprovação do procedimento somente poderá revogar a licitação por razões de interesse público decorrente de fato superveniente devidamente comprovado, pertinente e suficiente para justificar tal conduta, </w:t>
      </w:r>
      <w:r w:rsidRPr="003C4C93">
        <w:rPr>
          <w:rFonts w:ascii="Times New Roman" w:hAnsi="Times New Roman" w:cs="Times New Roman"/>
          <w:b/>
          <w:sz w:val="24"/>
          <w:szCs w:val="24"/>
        </w:rPr>
        <w:t>devendo anulá-la por ilegalidade, de ofício ou por provocação de terceiros, mediante parecer escrito e devidamente fundamentado.</w:t>
      </w:r>
      <w:r w:rsidRPr="003C4C93">
        <w:rPr>
          <w:rFonts w:ascii="Times New Roman" w:hAnsi="Times New Roman" w:cs="Times New Roman"/>
          <w:sz w:val="24"/>
          <w:szCs w:val="24"/>
        </w:rPr>
        <w:t xml:space="preserve"> </w:t>
      </w:r>
    </w:p>
    <w:p w:rsidR="0042362F" w:rsidRPr="003C4C93" w:rsidRDefault="00181FF6" w:rsidP="00DE6DBB">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 </w:t>
      </w:r>
    </w:p>
    <w:p w:rsidR="00181FF6" w:rsidRPr="003C4C93" w:rsidRDefault="00181FF6" w:rsidP="00DE6DBB">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b/>
          <w:sz w:val="24"/>
          <w:szCs w:val="24"/>
        </w:rPr>
        <w:t>§ 2º A nulidade do procedimento licitatório induz à do contrato, ressalvado o disposto no parágrafo único do artigo 59 desta lei</w:t>
      </w:r>
      <w:r w:rsidRPr="003C4C93">
        <w:rPr>
          <w:rFonts w:ascii="Times New Roman" w:hAnsi="Times New Roman" w:cs="Times New Roman"/>
          <w:sz w:val="24"/>
          <w:szCs w:val="24"/>
        </w:rPr>
        <w:t>.</w:t>
      </w:r>
    </w:p>
    <w:p w:rsidR="00DE6DBB" w:rsidRPr="003C4C93" w:rsidRDefault="00DE6DBB" w:rsidP="00DE6DBB">
      <w:pPr>
        <w:spacing w:after="0" w:line="240" w:lineRule="auto"/>
        <w:ind w:left="1701"/>
        <w:jc w:val="both"/>
        <w:rPr>
          <w:rFonts w:ascii="Times New Roman" w:hAnsi="Times New Roman" w:cs="Times New Roman"/>
          <w:sz w:val="24"/>
          <w:szCs w:val="24"/>
        </w:rPr>
      </w:pPr>
    </w:p>
    <w:p w:rsidR="00E330C1" w:rsidRPr="003C4C93" w:rsidRDefault="003C4C93" w:rsidP="003C4C93">
      <w:pPr>
        <w:pStyle w:val="NormalWeb"/>
        <w:tabs>
          <w:tab w:val="left" w:pos="1843"/>
        </w:tabs>
        <w:spacing w:before="0" w:after="120"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w:t>
      </w:r>
      <w:r w:rsidRPr="003C4C93">
        <w:rPr>
          <w:rFonts w:ascii="Times New Roman" w:hAnsi="Times New Roman" w:cs="Times New Roman"/>
          <w:sz w:val="24"/>
          <w:shd w:val="clear" w:color="auto" w:fill="FFFFFF"/>
        </w:rPr>
        <w:t xml:space="preserve">s cortes superiores </w:t>
      </w:r>
      <w:r>
        <w:rPr>
          <w:rFonts w:ascii="Times New Roman" w:hAnsi="Times New Roman" w:cs="Times New Roman"/>
          <w:sz w:val="24"/>
          <w:shd w:val="clear" w:color="auto" w:fill="FFFFFF"/>
        </w:rPr>
        <w:t>possuem entendimento n</w:t>
      </w:r>
      <w:r w:rsidR="00E330C1" w:rsidRPr="003C4C93">
        <w:rPr>
          <w:rFonts w:ascii="Times New Roman" w:hAnsi="Times New Roman" w:cs="Times New Roman"/>
          <w:sz w:val="24"/>
          <w:shd w:val="clear" w:color="auto" w:fill="FFFFFF"/>
        </w:rPr>
        <w:t>este mesmo sentido:</w:t>
      </w:r>
    </w:p>
    <w:p w:rsidR="00E330C1" w:rsidRPr="003C4C93" w:rsidRDefault="00E330C1" w:rsidP="003C4C93">
      <w:pPr>
        <w:pStyle w:val="NormalWeb"/>
        <w:tabs>
          <w:tab w:val="left" w:pos="1843"/>
        </w:tabs>
        <w:spacing w:before="0" w:after="120" w:line="240" w:lineRule="auto"/>
        <w:ind w:left="1701"/>
        <w:jc w:val="both"/>
        <w:rPr>
          <w:rFonts w:ascii="Times New Roman" w:hAnsi="Times New Roman" w:cs="Times New Roman"/>
          <w:sz w:val="24"/>
        </w:rPr>
      </w:pPr>
      <w:r w:rsidRPr="003C4C93">
        <w:rPr>
          <w:rFonts w:ascii="Times New Roman" w:hAnsi="Times New Roman" w:cs="Times New Roman"/>
          <w:sz w:val="24"/>
        </w:rPr>
        <w:t>Sumula nº 346 do STF. A administração pública pode declarar a nulidade dos seus próprios atos.</w:t>
      </w:r>
    </w:p>
    <w:p w:rsidR="00E330C1" w:rsidRPr="003C4C93" w:rsidRDefault="00E330C1" w:rsidP="003C4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701"/>
        <w:jc w:val="both"/>
        <w:textAlignment w:val="top"/>
        <w:rPr>
          <w:rFonts w:ascii="Times New Roman" w:eastAsia="Times New Roman" w:hAnsi="Times New Roman" w:cs="Times New Roman"/>
          <w:sz w:val="24"/>
          <w:szCs w:val="24"/>
          <w:lang w:eastAsia="pt-BR"/>
        </w:rPr>
      </w:pPr>
      <w:r w:rsidRPr="003C4C93">
        <w:rPr>
          <w:rFonts w:ascii="Times New Roman" w:eastAsia="Times New Roman" w:hAnsi="Times New Roman" w:cs="Times New Roman"/>
          <w:sz w:val="24"/>
          <w:szCs w:val="24"/>
          <w:lang w:eastAsia="pt-BR"/>
        </w:rPr>
        <w:t>Súmula nº 473 do STF. A 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p>
    <w:p w:rsidR="00E330C1" w:rsidRPr="003C4C93" w:rsidRDefault="00DE6DBB" w:rsidP="00E330C1">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Declarado </w:t>
      </w:r>
      <w:r w:rsidR="00E330C1" w:rsidRPr="003C4C93">
        <w:rPr>
          <w:rFonts w:ascii="Times New Roman" w:hAnsi="Times New Roman" w:cs="Times New Roman"/>
          <w:sz w:val="24"/>
          <w:szCs w:val="24"/>
        </w:rPr>
        <w:t xml:space="preserve">nulo o contrato, terá a contratada direito à indenização pelos serviços </w:t>
      </w:r>
      <w:r w:rsidR="0071596C" w:rsidRPr="003C4C93">
        <w:rPr>
          <w:rFonts w:ascii="Times New Roman" w:hAnsi="Times New Roman" w:cs="Times New Roman"/>
          <w:sz w:val="24"/>
          <w:szCs w:val="24"/>
        </w:rPr>
        <w:t xml:space="preserve">que foram </w:t>
      </w:r>
      <w:r w:rsidR="00E330C1" w:rsidRPr="003C4C93">
        <w:rPr>
          <w:rFonts w:ascii="Times New Roman" w:hAnsi="Times New Roman" w:cs="Times New Roman"/>
          <w:sz w:val="24"/>
          <w:szCs w:val="24"/>
        </w:rPr>
        <w:t xml:space="preserve">executados </w:t>
      </w:r>
      <w:r w:rsidR="0071596C" w:rsidRPr="003C4C93">
        <w:rPr>
          <w:rFonts w:ascii="Times New Roman" w:hAnsi="Times New Roman" w:cs="Times New Roman"/>
          <w:sz w:val="24"/>
          <w:szCs w:val="24"/>
        </w:rPr>
        <w:t xml:space="preserve">em conformidade com o contrato declarado nulo </w:t>
      </w:r>
      <w:r w:rsidR="00E330C1" w:rsidRPr="003C4C93">
        <w:rPr>
          <w:rFonts w:ascii="Times New Roman" w:hAnsi="Times New Roman" w:cs="Times New Roman"/>
          <w:sz w:val="24"/>
          <w:szCs w:val="24"/>
        </w:rPr>
        <w:t xml:space="preserve">até a data da anulação, </w:t>
      </w:r>
      <w:r w:rsidR="0071596C" w:rsidRPr="003C4C93">
        <w:rPr>
          <w:rFonts w:ascii="Times New Roman" w:hAnsi="Times New Roman" w:cs="Times New Roman"/>
          <w:sz w:val="24"/>
          <w:szCs w:val="24"/>
        </w:rPr>
        <w:t xml:space="preserve">consoante </w:t>
      </w:r>
      <w:r w:rsidR="00E330C1" w:rsidRPr="003C4C93">
        <w:rPr>
          <w:rFonts w:ascii="Times New Roman" w:hAnsi="Times New Roman" w:cs="Times New Roman"/>
          <w:sz w:val="24"/>
          <w:szCs w:val="24"/>
        </w:rPr>
        <w:t>prevê o art. 59 da Lei nº 8.666/93:</w:t>
      </w:r>
    </w:p>
    <w:p w:rsidR="00714D16" w:rsidRPr="003C4C93" w:rsidRDefault="00181FF6"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Art. 59 A declaração de nulidade do contrato administrativo </w:t>
      </w:r>
      <w:r w:rsidRPr="003C4C93">
        <w:rPr>
          <w:rFonts w:ascii="Times New Roman" w:hAnsi="Times New Roman" w:cs="Times New Roman"/>
          <w:b/>
          <w:sz w:val="24"/>
          <w:szCs w:val="24"/>
        </w:rPr>
        <w:t>opera retroativamente impedindo os efeitos jurídicos que ele, ordinariamente, deveria produzir, além de desconstruir os já produzidos</w:t>
      </w:r>
      <w:r w:rsidRPr="003C4C93">
        <w:rPr>
          <w:rFonts w:ascii="Times New Roman" w:hAnsi="Times New Roman" w:cs="Times New Roman"/>
          <w:sz w:val="24"/>
          <w:szCs w:val="24"/>
        </w:rPr>
        <w:t xml:space="preserve">. </w:t>
      </w:r>
    </w:p>
    <w:p w:rsidR="00181FF6" w:rsidRPr="003C4C93" w:rsidRDefault="00181FF6"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Parágrafo Único. A nulidade não exonera a Administração do dever de indenizar o contratado pelo o que esse houver executado até a data em que ela foi declarada e</w:t>
      </w:r>
      <w:r w:rsidRPr="003C4C93">
        <w:rPr>
          <w:rFonts w:ascii="Times New Roman" w:hAnsi="Times New Roman" w:cs="Times New Roman"/>
          <w:b/>
          <w:sz w:val="24"/>
          <w:szCs w:val="24"/>
        </w:rPr>
        <w:t xml:space="preserve"> por outros prejuízos regulamente comprovados</w:t>
      </w:r>
      <w:r w:rsidRPr="003C4C93">
        <w:rPr>
          <w:rFonts w:ascii="Times New Roman" w:hAnsi="Times New Roman" w:cs="Times New Roman"/>
          <w:sz w:val="24"/>
          <w:szCs w:val="24"/>
        </w:rPr>
        <w:t xml:space="preserve">, </w:t>
      </w:r>
      <w:r w:rsidRPr="003C4C93">
        <w:rPr>
          <w:rFonts w:ascii="Times New Roman" w:hAnsi="Times New Roman" w:cs="Times New Roman"/>
          <w:b/>
          <w:sz w:val="24"/>
          <w:szCs w:val="24"/>
        </w:rPr>
        <w:t>contanto que não lhe seja imputado</w:t>
      </w:r>
      <w:r w:rsidRPr="003C4C93">
        <w:rPr>
          <w:rFonts w:ascii="Times New Roman" w:hAnsi="Times New Roman" w:cs="Times New Roman"/>
          <w:sz w:val="24"/>
          <w:szCs w:val="24"/>
        </w:rPr>
        <w:t>, promovendo-se a responsabilidade de quem lhe deu causa.</w:t>
      </w:r>
    </w:p>
    <w:p w:rsidR="00E25996" w:rsidRPr="003C4C93" w:rsidRDefault="00E25996" w:rsidP="00E25996">
      <w:pPr>
        <w:spacing w:after="0" w:line="240" w:lineRule="auto"/>
        <w:ind w:left="1701"/>
        <w:jc w:val="both"/>
        <w:rPr>
          <w:rFonts w:ascii="Times New Roman" w:hAnsi="Times New Roman" w:cs="Times New Roman"/>
          <w:sz w:val="24"/>
          <w:szCs w:val="24"/>
        </w:rPr>
      </w:pPr>
    </w:p>
    <w:p w:rsidR="002B3A89" w:rsidRPr="003C4C93" w:rsidRDefault="002B3A89"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A Comissão Processante, em seu Relatório Final, sugeriu a declaração de nulidade do processo licitatório</w:t>
      </w:r>
      <w:r w:rsidR="00B35046" w:rsidRPr="003C4C93">
        <w:rPr>
          <w:rFonts w:ascii="Times New Roman" w:hAnsi="Times New Roman" w:cs="Times New Roman"/>
          <w:sz w:val="24"/>
          <w:szCs w:val="24"/>
        </w:rPr>
        <w:t>, o pagamento dos serviços executados</w:t>
      </w:r>
      <w:r w:rsidRPr="003C4C93">
        <w:rPr>
          <w:rFonts w:ascii="Times New Roman" w:hAnsi="Times New Roman" w:cs="Times New Roman"/>
          <w:sz w:val="24"/>
          <w:szCs w:val="24"/>
        </w:rPr>
        <w:t xml:space="preserve"> e a aplicação de multa no montante equivalente à diferença entre o orçamento base para a licitação Tomada de Preço nº 009/2022 e o orçamento base</w:t>
      </w:r>
      <w:r w:rsidR="00764911" w:rsidRPr="003C4C93">
        <w:rPr>
          <w:rFonts w:ascii="Times New Roman" w:hAnsi="Times New Roman" w:cs="Times New Roman"/>
          <w:sz w:val="24"/>
          <w:szCs w:val="24"/>
        </w:rPr>
        <w:t>,</w:t>
      </w:r>
      <w:r w:rsidRPr="003C4C93">
        <w:rPr>
          <w:rFonts w:ascii="Times New Roman" w:hAnsi="Times New Roman" w:cs="Times New Roman"/>
          <w:sz w:val="24"/>
          <w:szCs w:val="24"/>
        </w:rPr>
        <w:t xml:space="preserve"> atualizado para o lançamento de nova licitação.</w:t>
      </w:r>
    </w:p>
    <w:p w:rsidR="002B3A89" w:rsidRPr="003C4C93" w:rsidRDefault="00F30EB9"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Contudo, e</w:t>
      </w:r>
      <w:r w:rsidR="002B3A89" w:rsidRPr="003C4C93">
        <w:rPr>
          <w:rFonts w:ascii="Times New Roman" w:hAnsi="Times New Roman" w:cs="Times New Roman"/>
          <w:sz w:val="24"/>
          <w:szCs w:val="24"/>
        </w:rPr>
        <w:t>m que pese a declaração de nulidade seja o curso natural deste processo administrativo, discorda-se da aplicação de multa por falta de amparo legal.</w:t>
      </w:r>
    </w:p>
    <w:p w:rsidR="00B35046" w:rsidRPr="003C4C93" w:rsidRDefault="00B35046"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Também se discorda da sugestão de pagamento do valor dos serviços executados pela empresa contratada, por não ser</w:t>
      </w:r>
      <w:r w:rsidR="00764911" w:rsidRPr="003C4C93">
        <w:rPr>
          <w:rFonts w:ascii="Times New Roman" w:hAnsi="Times New Roman" w:cs="Times New Roman"/>
          <w:sz w:val="24"/>
          <w:szCs w:val="24"/>
        </w:rPr>
        <w:t xml:space="preserve"> </w:t>
      </w:r>
      <w:r w:rsidRPr="003C4C93">
        <w:rPr>
          <w:rFonts w:ascii="Times New Roman" w:hAnsi="Times New Roman" w:cs="Times New Roman"/>
          <w:sz w:val="24"/>
          <w:szCs w:val="24"/>
        </w:rPr>
        <w:t xml:space="preserve">o melhor </w:t>
      </w:r>
      <w:r w:rsidR="00764911" w:rsidRPr="003C4C93">
        <w:rPr>
          <w:rFonts w:ascii="Times New Roman" w:hAnsi="Times New Roman" w:cs="Times New Roman"/>
          <w:sz w:val="24"/>
          <w:szCs w:val="24"/>
        </w:rPr>
        <w:t>direito aplicável ao caso</w:t>
      </w:r>
      <w:r w:rsidRPr="003C4C93">
        <w:rPr>
          <w:rFonts w:ascii="Times New Roman" w:hAnsi="Times New Roman" w:cs="Times New Roman"/>
          <w:sz w:val="24"/>
          <w:szCs w:val="24"/>
        </w:rPr>
        <w:t>.</w:t>
      </w:r>
    </w:p>
    <w:p w:rsidR="002B3A89" w:rsidRPr="003C4C93" w:rsidRDefault="002B3A89"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A aplicação de multa </w:t>
      </w:r>
      <w:r w:rsidR="00C3023C" w:rsidRPr="003C4C93">
        <w:rPr>
          <w:rFonts w:ascii="Times New Roman" w:hAnsi="Times New Roman" w:cs="Times New Roman"/>
          <w:sz w:val="24"/>
          <w:szCs w:val="24"/>
        </w:rPr>
        <w:t>depende</w:t>
      </w:r>
      <w:r w:rsidR="00C009E6">
        <w:rPr>
          <w:rFonts w:ascii="Times New Roman" w:hAnsi="Times New Roman" w:cs="Times New Roman"/>
          <w:sz w:val="24"/>
          <w:szCs w:val="24"/>
        </w:rPr>
        <w:t>ria</w:t>
      </w:r>
      <w:r w:rsidR="00C3023C" w:rsidRPr="003C4C93">
        <w:rPr>
          <w:rFonts w:ascii="Times New Roman" w:hAnsi="Times New Roman" w:cs="Times New Roman"/>
          <w:sz w:val="24"/>
          <w:szCs w:val="24"/>
        </w:rPr>
        <w:t xml:space="preserve"> de se reconhecer como válido o contrato firmado e haver descumprimento contratual por parte da contratada, o que </w:t>
      </w:r>
      <w:r w:rsidR="00C009E6">
        <w:rPr>
          <w:rFonts w:ascii="Times New Roman" w:hAnsi="Times New Roman" w:cs="Times New Roman"/>
          <w:sz w:val="24"/>
          <w:szCs w:val="24"/>
        </w:rPr>
        <w:t>no caso não é possível.</w:t>
      </w:r>
    </w:p>
    <w:p w:rsidR="00C3023C" w:rsidRPr="003C4C93" w:rsidRDefault="00C3023C"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O fato irregular que fundamenta o presente processo administrativo não tem relação com a execução do contrato, mas com o processo licitatório apenas.</w:t>
      </w:r>
    </w:p>
    <w:p w:rsidR="00C3023C" w:rsidRPr="003C4C93" w:rsidRDefault="00C3023C" w:rsidP="00C3023C">
      <w:pPr>
        <w:spacing w:after="240" w:line="360" w:lineRule="auto"/>
        <w:jc w:val="both"/>
        <w:rPr>
          <w:rFonts w:ascii="Times New Roman" w:hAnsi="Times New Roman" w:cs="Times New Roman"/>
          <w:sz w:val="26"/>
          <w:szCs w:val="24"/>
        </w:rPr>
      </w:pPr>
      <w:r w:rsidRPr="003C4C93">
        <w:rPr>
          <w:rFonts w:ascii="Times New Roman" w:hAnsi="Times New Roman" w:cs="Times New Roman"/>
          <w:sz w:val="24"/>
          <w:szCs w:val="24"/>
        </w:rPr>
        <w:t>Logo, qualquer sanção a ser aplicada deverá estar atrelada às normas que regem o procedimento licitatório, não havendo como aplicar qualquer sanção contratual, a menos que fossem aquelas previstas nos arts. 87, III e IV e 88 da Lei n</w:t>
      </w:r>
      <w:r w:rsidRPr="003C4C93">
        <w:rPr>
          <w:rFonts w:ascii="Times New Roman" w:hAnsi="Times New Roman" w:cs="Times New Roman"/>
          <w:sz w:val="26"/>
          <w:szCs w:val="24"/>
        </w:rPr>
        <w:t>º 8.666/93.</w:t>
      </w:r>
    </w:p>
    <w:p w:rsidR="00C3023C" w:rsidRPr="003C4C93" w:rsidRDefault="00C3023C" w:rsidP="00C3023C">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Senão vejamos:</w:t>
      </w: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Art. 87.</w:t>
      </w:r>
      <w:r w:rsidRPr="003C4C93">
        <w:rPr>
          <w:rFonts w:ascii="Times New Roman" w:hAnsi="Times New Roman" w:cs="Times New Roman"/>
          <w:b/>
          <w:sz w:val="24"/>
          <w:szCs w:val="24"/>
        </w:rPr>
        <w:t xml:space="preserve"> </w:t>
      </w:r>
      <w:r w:rsidRPr="003C4C93">
        <w:rPr>
          <w:rFonts w:ascii="Times New Roman" w:hAnsi="Times New Roman" w:cs="Times New Roman"/>
          <w:sz w:val="24"/>
          <w:szCs w:val="24"/>
        </w:rPr>
        <w:t xml:space="preserve">Pela inexecução total ou parcial do contrato a Administração poderá, garantida a prévia defesa, aplicar ao contrato as seguintes sanções: </w:t>
      </w:r>
    </w:p>
    <w:p w:rsidR="00C3023C" w:rsidRPr="003C4C93" w:rsidRDefault="00C3023C" w:rsidP="00E25996">
      <w:pPr>
        <w:suppressAutoHyphens w:val="0"/>
        <w:spacing w:after="0" w:line="240" w:lineRule="auto"/>
        <w:ind w:left="1701"/>
        <w:rPr>
          <w:rFonts w:ascii="Times New Roman" w:eastAsia="Times New Roman" w:hAnsi="Times New Roman" w:cs="Times New Roman"/>
          <w:color w:val="000000"/>
          <w:sz w:val="24"/>
          <w:szCs w:val="24"/>
          <w:lang w:eastAsia="pt-BR"/>
        </w:rPr>
      </w:pPr>
      <w:r w:rsidRPr="003C4C93">
        <w:rPr>
          <w:rFonts w:ascii="Times New Roman" w:eastAsia="Times New Roman" w:hAnsi="Times New Roman" w:cs="Times New Roman"/>
          <w:color w:val="000000"/>
          <w:sz w:val="24"/>
          <w:szCs w:val="24"/>
          <w:lang w:eastAsia="pt-BR"/>
        </w:rPr>
        <w:t>I - advertência;</w:t>
      </w:r>
    </w:p>
    <w:p w:rsidR="00C3023C" w:rsidRPr="003C4C93" w:rsidRDefault="00C3023C" w:rsidP="00E25996">
      <w:pPr>
        <w:suppressAutoHyphens w:val="0"/>
        <w:spacing w:after="0" w:line="240" w:lineRule="auto"/>
        <w:ind w:left="1701"/>
        <w:rPr>
          <w:rFonts w:ascii="Times New Roman" w:eastAsia="Times New Roman" w:hAnsi="Times New Roman" w:cs="Times New Roman"/>
          <w:color w:val="000000"/>
          <w:sz w:val="24"/>
          <w:szCs w:val="24"/>
          <w:lang w:eastAsia="pt-BR"/>
        </w:rPr>
      </w:pPr>
      <w:bookmarkStart w:id="0" w:name="art87ii"/>
      <w:bookmarkEnd w:id="0"/>
      <w:r w:rsidRPr="003C4C93">
        <w:rPr>
          <w:rFonts w:ascii="Times New Roman" w:eastAsia="Times New Roman" w:hAnsi="Times New Roman" w:cs="Times New Roman"/>
          <w:color w:val="000000"/>
          <w:sz w:val="24"/>
          <w:szCs w:val="24"/>
          <w:lang w:eastAsia="pt-BR"/>
        </w:rPr>
        <w:t>II - multa, na forma prevista no instrumento convocatório ou no contrato;</w:t>
      </w: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III – suspensão temporária de participação em licitação e impedimento de contratar com a Administração, por prazo não superior a 2 (dois) anos; </w:t>
      </w: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IV – declaração de inidoneidade para licitar ou contratar com a Administração Pública em 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3023C" w:rsidRPr="003C4C93" w:rsidRDefault="00C3023C" w:rsidP="00E25996">
      <w:pPr>
        <w:spacing w:after="0" w:line="240" w:lineRule="auto"/>
        <w:ind w:left="1701"/>
        <w:jc w:val="both"/>
        <w:rPr>
          <w:rFonts w:ascii="Times New Roman" w:hAnsi="Times New Roman" w:cs="Times New Roman"/>
          <w:sz w:val="24"/>
          <w:szCs w:val="24"/>
        </w:rPr>
      </w:pP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Art. 88.</w:t>
      </w:r>
      <w:r w:rsidRPr="003C4C93">
        <w:rPr>
          <w:rFonts w:ascii="Times New Roman" w:hAnsi="Times New Roman" w:cs="Times New Roman"/>
          <w:b/>
          <w:sz w:val="24"/>
          <w:szCs w:val="24"/>
        </w:rPr>
        <w:t xml:space="preserve"> </w:t>
      </w:r>
      <w:r w:rsidRPr="003C4C93">
        <w:rPr>
          <w:rFonts w:ascii="Times New Roman" w:hAnsi="Times New Roman" w:cs="Times New Roman"/>
          <w:sz w:val="24"/>
          <w:szCs w:val="24"/>
        </w:rPr>
        <w:t xml:space="preserve">As sanções previstas nos incisos III e IV do artigo anterior poderão também ser aplicadas às empresas ou profissionais que, em razão dos contratos regidos, por esta Lei: </w:t>
      </w: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w:t>
      </w:r>
    </w:p>
    <w:p w:rsidR="00C3023C" w:rsidRPr="003C4C93" w:rsidRDefault="00C3023C" w:rsidP="00E25996">
      <w:pPr>
        <w:spacing w:after="0" w:line="240" w:lineRule="auto"/>
        <w:ind w:left="1701"/>
        <w:jc w:val="both"/>
        <w:rPr>
          <w:rFonts w:ascii="Times New Roman" w:hAnsi="Times New Roman" w:cs="Times New Roman"/>
          <w:sz w:val="24"/>
          <w:szCs w:val="24"/>
        </w:rPr>
      </w:pPr>
      <w:r w:rsidRPr="003C4C93">
        <w:rPr>
          <w:rFonts w:ascii="Times New Roman" w:hAnsi="Times New Roman" w:cs="Times New Roman"/>
          <w:sz w:val="24"/>
          <w:szCs w:val="24"/>
        </w:rPr>
        <w:t xml:space="preserve">II – tenham praticado atos ilícitos visando a frustrar os objetivos da licitação; </w:t>
      </w:r>
    </w:p>
    <w:p w:rsidR="00C3023C" w:rsidRPr="003C4C93" w:rsidRDefault="00C3023C" w:rsidP="002E7C76">
      <w:pPr>
        <w:spacing w:after="240" w:line="360" w:lineRule="auto"/>
        <w:jc w:val="both"/>
        <w:rPr>
          <w:rFonts w:ascii="Times New Roman" w:hAnsi="Times New Roman" w:cs="Times New Roman"/>
          <w:sz w:val="24"/>
          <w:szCs w:val="24"/>
        </w:rPr>
      </w:pPr>
    </w:p>
    <w:p w:rsidR="002B3A89" w:rsidRPr="003C4C93" w:rsidRDefault="00C3023C"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Apesar de não ser possível se aplicar multa contratual, é viável se determinar que a empresa contratada indenize a Administração pelo</w:t>
      </w:r>
      <w:r w:rsidR="00F30EB9" w:rsidRPr="003C4C93">
        <w:rPr>
          <w:rFonts w:ascii="Times New Roman" w:hAnsi="Times New Roman" w:cs="Times New Roman"/>
          <w:sz w:val="24"/>
          <w:szCs w:val="24"/>
        </w:rPr>
        <w:t xml:space="preserve"> prejuízo que a sua ação causou, nos termos do parágrafo único do art. 59 da Lei nº 8.666/93.</w:t>
      </w:r>
    </w:p>
    <w:p w:rsidR="00C3023C" w:rsidRPr="003C4C93" w:rsidRDefault="00C3023C"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No caso em questão, o prejuízo é exatamente a diferença entre o valor do objeto da licitação</w:t>
      </w:r>
      <w:r w:rsidR="00B35046" w:rsidRPr="003C4C93">
        <w:rPr>
          <w:rFonts w:ascii="Times New Roman" w:hAnsi="Times New Roman" w:cs="Times New Roman"/>
          <w:sz w:val="24"/>
          <w:szCs w:val="24"/>
        </w:rPr>
        <w:t>,</w:t>
      </w:r>
      <w:r w:rsidRPr="003C4C93">
        <w:rPr>
          <w:rFonts w:ascii="Times New Roman" w:hAnsi="Times New Roman" w:cs="Times New Roman"/>
          <w:sz w:val="24"/>
          <w:szCs w:val="24"/>
        </w:rPr>
        <w:t xml:space="preserve"> ora </w:t>
      </w:r>
      <w:r w:rsidR="00B35046" w:rsidRPr="003C4C93">
        <w:rPr>
          <w:rFonts w:ascii="Times New Roman" w:hAnsi="Times New Roman" w:cs="Times New Roman"/>
          <w:sz w:val="24"/>
          <w:szCs w:val="24"/>
        </w:rPr>
        <w:t>declarada nula,</w:t>
      </w:r>
      <w:r w:rsidRPr="003C4C93">
        <w:rPr>
          <w:rFonts w:ascii="Times New Roman" w:hAnsi="Times New Roman" w:cs="Times New Roman"/>
          <w:sz w:val="24"/>
          <w:szCs w:val="24"/>
        </w:rPr>
        <w:t xml:space="preserve"> e o valor da nova licitação, descontados, contudo, os serviços </w:t>
      </w:r>
      <w:r w:rsidR="00B35046" w:rsidRPr="003C4C93">
        <w:rPr>
          <w:rFonts w:ascii="Times New Roman" w:hAnsi="Times New Roman" w:cs="Times New Roman"/>
          <w:sz w:val="24"/>
          <w:szCs w:val="24"/>
        </w:rPr>
        <w:t xml:space="preserve">já </w:t>
      </w:r>
      <w:r w:rsidRPr="003C4C93">
        <w:rPr>
          <w:rFonts w:ascii="Times New Roman" w:hAnsi="Times New Roman" w:cs="Times New Roman"/>
          <w:sz w:val="24"/>
          <w:szCs w:val="24"/>
        </w:rPr>
        <w:t>executados pela empresa contratada</w:t>
      </w:r>
      <w:r w:rsidR="00B35046" w:rsidRPr="003C4C93">
        <w:rPr>
          <w:rFonts w:ascii="Times New Roman" w:hAnsi="Times New Roman" w:cs="Times New Roman"/>
          <w:sz w:val="24"/>
          <w:szCs w:val="24"/>
        </w:rPr>
        <w:t>, conforme apurou a Comissão Processante</w:t>
      </w:r>
      <w:r w:rsidRPr="003C4C93">
        <w:rPr>
          <w:rFonts w:ascii="Times New Roman" w:hAnsi="Times New Roman" w:cs="Times New Roman"/>
          <w:sz w:val="24"/>
          <w:szCs w:val="24"/>
        </w:rPr>
        <w:t>.</w:t>
      </w:r>
    </w:p>
    <w:p w:rsidR="00B35046" w:rsidRPr="003C4C93" w:rsidRDefault="00B35046"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De acordo com a planilha apresentada pela Comissão Processante, a parte da obra pendente de execução está orçada em R$ 473.428,06. Aplicando-se o percentual da diferença entre o valor da planilha base da licitação em vigor e o valor da planilha base da licitação a ser relançada (7,22%), temos que o valor do prejuízo da Administração é de R$ 34.181,50 (R$ 473.428,06 x 7,22% = R$ 34.181,50).</w:t>
      </w:r>
    </w:p>
    <w:p w:rsidR="00DE6DBB" w:rsidRPr="003C4C93" w:rsidRDefault="00F92F68"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Em relação ao pagamento dos serviços prestados pela empresa contratada, conforme sugerido pela Comissão Processante, ressalta-se que o parágrafo único do art. 59 da Lei nº 8.666/93, nos casos de declaração de nulidade de processo licitatório, </w:t>
      </w:r>
      <w:r w:rsidR="00C009E6">
        <w:rPr>
          <w:rFonts w:ascii="Times New Roman" w:hAnsi="Times New Roman" w:cs="Times New Roman"/>
          <w:sz w:val="24"/>
          <w:szCs w:val="24"/>
        </w:rPr>
        <w:t xml:space="preserve">determina </w:t>
      </w:r>
      <w:r w:rsidRPr="003C4C93">
        <w:rPr>
          <w:rFonts w:ascii="Times New Roman" w:hAnsi="Times New Roman" w:cs="Times New Roman"/>
          <w:sz w:val="24"/>
          <w:szCs w:val="24"/>
        </w:rPr>
        <w:t>apenas</w:t>
      </w:r>
      <w:r w:rsidR="00C009E6">
        <w:rPr>
          <w:rFonts w:ascii="Times New Roman" w:hAnsi="Times New Roman" w:cs="Times New Roman"/>
          <w:sz w:val="24"/>
          <w:szCs w:val="24"/>
        </w:rPr>
        <w:t xml:space="preserve"> o pagamento de</w:t>
      </w:r>
      <w:r w:rsidR="00DE6DBB" w:rsidRPr="003C4C93">
        <w:rPr>
          <w:rFonts w:ascii="Times New Roman" w:hAnsi="Times New Roman" w:cs="Times New Roman"/>
          <w:sz w:val="24"/>
          <w:szCs w:val="24"/>
        </w:rPr>
        <w:t xml:space="preserve"> indenização pelos serviços prestados e não </w:t>
      </w:r>
      <w:r w:rsidRPr="003C4C93">
        <w:rPr>
          <w:rFonts w:ascii="Times New Roman" w:hAnsi="Times New Roman" w:cs="Times New Roman"/>
          <w:sz w:val="24"/>
          <w:szCs w:val="24"/>
        </w:rPr>
        <w:t>a</w:t>
      </w:r>
      <w:r w:rsidR="00DE6DBB" w:rsidRPr="003C4C93">
        <w:rPr>
          <w:rFonts w:ascii="Times New Roman" w:hAnsi="Times New Roman" w:cs="Times New Roman"/>
          <w:sz w:val="24"/>
          <w:szCs w:val="24"/>
        </w:rPr>
        <w:t xml:space="preserve">o pagamento </w:t>
      </w:r>
      <w:r w:rsidRPr="003C4C93">
        <w:rPr>
          <w:rFonts w:ascii="Times New Roman" w:hAnsi="Times New Roman" w:cs="Times New Roman"/>
          <w:sz w:val="24"/>
          <w:szCs w:val="24"/>
        </w:rPr>
        <w:t xml:space="preserve">integral </w:t>
      </w:r>
      <w:r w:rsidR="00DE6DBB" w:rsidRPr="003C4C93">
        <w:rPr>
          <w:rFonts w:ascii="Times New Roman" w:hAnsi="Times New Roman" w:cs="Times New Roman"/>
          <w:sz w:val="24"/>
          <w:szCs w:val="24"/>
        </w:rPr>
        <w:t>da remuneração prevista em contrato, porquanto indenização press</w:t>
      </w:r>
      <w:r w:rsidR="00BF1C3B" w:rsidRPr="003C4C93">
        <w:rPr>
          <w:rFonts w:ascii="Times New Roman" w:hAnsi="Times New Roman" w:cs="Times New Roman"/>
          <w:sz w:val="24"/>
          <w:szCs w:val="24"/>
        </w:rPr>
        <w:t>upõe apenas a reposição do que s</w:t>
      </w:r>
      <w:r w:rsidR="00DE6DBB" w:rsidRPr="003C4C93">
        <w:rPr>
          <w:rFonts w:ascii="Times New Roman" w:hAnsi="Times New Roman" w:cs="Times New Roman"/>
          <w:sz w:val="24"/>
          <w:szCs w:val="24"/>
        </w:rPr>
        <w:t>e</w:t>
      </w:r>
      <w:r w:rsidR="00A653EF" w:rsidRPr="003C4C93">
        <w:rPr>
          <w:rFonts w:ascii="Times New Roman" w:hAnsi="Times New Roman" w:cs="Times New Roman"/>
          <w:sz w:val="24"/>
          <w:szCs w:val="24"/>
        </w:rPr>
        <w:t xml:space="preserve"> de</w:t>
      </w:r>
      <w:r w:rsidR="00DE6DBB" w:rsidRPr="003C4C93">
        <w:rPr>
          <w:rFonts w:ascii="Times New Roman" w:hAnsi="Times New Roman" w:cs="Times New Roman"/>
          <w:sz w:val="24"/>
          <w:szCs w:val="24"/>
        </w:rPr>
        <w:t>spendeu em custos, excluída a margem de lucro.</w:t>
      </w:r>
    </w:p>
    <w:p w:rsidR="00F92F68" w:rsidRPr="003C4C93" w:rsidRDefault="00F92F68"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Assim, uma vez declarada a nulidade do processo licitatório, cabe à Administração indenizar a contratada apenas os custos que despendeu na execução da obra contratada.</w:t>
      </w:r>
    </w:p>
    <w:p w:rsidR="00FE4B0B" w:rsidRPr="003C4C93" w:rsidRDefault="00FE4B0B"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Neste sentido:</w:t>
      </w:r>
    </w:p>
    <w:p w:rsidR="00FE4B0B" w:rsidRPr="003C4C93" w:rsidRDefault="00FE4B0B" w:rsidP="00E25996">
      <w:pPr>
        <w:shd w:val="clear" w:color="auto" w:fill="FFFFFF"/>
        <w:suppressAutoHyphens w:val="0"/>
        <w:spacing w:after="0" w:line="240" w:lineRule="auto"/>
        <w:ind w:left="1701"/>
        <w:jc w:val="both"/>
        <w:rPr>
          <w:rFonts w:ascii="Times New Roman" w:eastAsia="Times New Roman" w:hAnsi="Times New Roman" w:cs="Times New Roman"/>
          <w:spacing w:val="2"/>
          <w:sz w:val="24"/>
          <w:szCs w:val="24"/>
          <w:lang w:eastAsia="pt-BR"/>
        </w:rPr>
      </w:pPr>
      <w:r w:rsidRPr="003C4C93">
        <w:rPr>
          <w:rFonts w:ascii="Times New Roman" w:eastAsia="Times New Roman" w:hAnsi="Times New Roman" w:cs="Times New Roman"/>
          <w:spacing w:val="2"/>
          <w:sz w:val="24"/>
          <w:szCs w:val="24"/>
          <w:lang w:eastAsia="pt-BR"/>
        </w:rPr>
        <w:t>AÇÃO CIVIL PÚBLICA E AÇÃO DE COBRANÇA. LICITAÇÃO. NULIDADE.</w:t>
      </w:r>
      <w:r w:rsidR="00FD5633" w:rsidRPr="003C4C93">
        <w:rPr>
          <w:rFonts w:ascii="Times New Roman" w:eastAsia="Times New Roman" w:hAnsi="Times New Roman" w:cs="Times New Roman"/>
          <w:spacing w:val="2"/>
          <w:sz w:val="24"/>
          <w:szCs w:val="24"/>
          <w:lang w:eastAsia="pt-BR"/>
        </w:rPr>
        <w:t xml:space="preserve"> </w:t>
      </w:r>
      <w:r w:rsidRPr="003C4C93">
        <w:rPr>
          <w:rFonts w:ascii="Times New Roman" w:eastAsia="Times New Roman" w:hAnsi="Times New Roman" w:cs="Times New Roman"/>
          <w:spacing w:val="2"/>
          <w:sz w:val="24"/>
          <w:szCs w:val="24"/>
          <w:lang w:eastAsia="pt-BR"/>
        </w:rPr>
        <w:t>CONCORRÊNCIA DO PARTICULAR. OBRA EFETIVAMENTE ENTREGUE CONFORME AS</w:t>
      </w:r>
      <w:r w:rsidR="00FD5633" w:rsidRPr="003C4C93">
        <w:rPr>
          <w:rFonts w:ascii="Times New Roman" w:eastAsia="Times New Roman" w:hAnsi="Times New Roman" w:cs="Times New Roman"/>
          <w:spacing w:val="2"/>
          <w:sz w:val="24"/>
          <w:szCs w:val="24"/>
          <w:lang w:eastAsia="pt-BR"/>
        </w:rPr>
        <w:t xml:space="preserve"> </w:t>
      </w:r>
      <w:r w:rsidRPr="003C4C93">
        <w:rPr>
          <w:rFonts w:ascii="Times New Roman" w:eastAsia="Times New Roman" w:hAnsi="Times New Roman" w:cs="Times New Roman"/>
          <w:spacing w:val="2"/>
          <w:sz w:val="24"/>
          <w:szCs w:val="24"/>
          <w:lang w:eastAsia="pt-BR"/>
        </w:rPr>
        <w:t xml:space="preserve">ESPECIFICAÇÕES DO EDITAL. INDENIZAÇÃO. ENRIQUECIMENTO SEM CAUSA.POSSIBILIDADE. INTERPRETAÇÃO DO ARTIGO 49 DO DECRETO-LEI 2.300/86 (ATUAL ART. 59 DA LEI 8.666/93). 1. Argumenta a autarquia federal que o artigo 49 do Decreto-Lei2.300/86 (atualmente artigo 59 da Lei 8.666/93)"estabelece como condição para o dever de indenizar o contratado a não imputabilidade da irregularidade que motivou a nulidade do contrato firmado com a Administração", o que não ocorreu no caso em que foi constatada a participação da contratada na nulidade contratual em virtude de superfaturamento da obra. 2. O caput da regra geral estabelece para todos os casos de nulidade do contrato administrativo, o retorno ao estado anterior à avença (Art 49. A declaração de nulidade do contrato administrativo opera retroativamente, impedindo os efeitos jurídicos que ele, ordinariamente, deveria produzir, além de desconstituir os já produzidos) exatamente como ocorre no direito privado (art. 182 do CC/02). O parágrafo único protege o contratante de boa-fé que iniciou a execução do contrato, merecedor, portanto de proteção especial à sua conduta (A nulidade não exonera a Administração do dever de indenizar o contratado, pelo que este houver executado até a data em que ela for declarada, contanto que não lhe seja imputável, promovendo-se a responsabilidade de quem lhe deu causa). 3. Em relação ao contratado de má-fé, não lhe é retirada a posição normal de quem sofre com a declaração de invalidade do contrato-retorno ao estado anterior, prevista no caput do artigo 49 do Decreto-Lei 2.300/86. </w:t>
      </w:r>
      <w:r w:rsidRPr="003C4C93">
        <w:rPr>
          <w:rFonts w:ascii="Times New Roman" w:eastAsia="Times New Roman" w:hAnsi="Times New Roman" w:cs="Times New Roman"/>
          <w:b/>
          <w:spacing w:val="2"/>
          <w:sz w:val="24"/>
          <w:szCs w:val="24"/>
          <w:lang w:eastAsia="pt-BR"/>
        </w:rPr>
        <w:t>Esse retorno faz-se com a recolocação das partes no estado anterior ao contrato, o que por vezes se mostra impossível, jurídica ou materialmente, como ocorre nos autos (obra pública), pelo que as partes deverão ter seu patrimônio restituído em nível equivalente ao momento anterior, no caso, pelo custo básico do que foi produzido, sem qualquer margem de lucro.</w:t>
      </w:r>
      <w:r w:rsidRPr="003C4C93">
        <w:rPr>
          <w:rFonts w:ascii="Times New Roman" w:eastAsia="Times New Roman" w:hAnsi="Times New Roman" w:cs="Times New Roman"/>
          <w:spacing w:val="2"/>
          <w:sz w:val="24"/>
          <w:szCs w:val="24"/>
          <w:lang w:eastAsia="pt-BR"/>
        </w:rPr>
        <w:t xml:space="preserve"> 4. Recurso especial não provido. (STJ - REsp: 1153337 AC 2009/0136239-9, Relator: Ministro CASTRO MEIRA, Data de Julgamento: 15/05/2012, T2 - SEGUNDA TURMA, Data de Publicação: DJe 24/05/2012).</w:t>
      </w:r>
    </w:p>
    <w:p w:rsidR="00FE4B0B" w:rsidRPr="003C4C93" w:rsidRDefault="00FE4B0B" w:rsidP="00FE4B0B">
      <w:pPr>
        <w:shd w:val="clear" w:color="auto" w:fill="FFFFFF"/>
        <w:suppressAutoHyphens w:val="0"/>
        <w:spacing w:after="0" w:line="240" w:lineRule="auto"/>
        <w:ind w:left="1701"/>
        <w:jc w:val="both"/>
        <w:rPr>
          <w:rFonts w:ascii="Times New Roman" w:eastAsia="Times New Roman" w:hAnsi="Times New Roman" w:cs="Times New Roman"/>
          <w:spacing w:val="2"/>
          <w:sz w:val="24"/>
          <w:szCs w:val="24"/>
          <w:lang w:eastAsia="pt-BR"/>
        </w:rPr>
      </w:pPr>
    </w:p>
    <w:p w:rsidR="00DE6DBB" w:rsidRPr="003C4C93" w:rsidRDefault="00DE6DBB"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Assim, </w:t>
      </w:r>
      <w:r w:rsidR="00C009E6">
        <w:rPr>
          <w:rFonts w:ascii="Times New Roman" w:hAnsi="Times New Roman" w:cs="Times New Roman"/>
          <w:sz w:val="24"/>
          <w:szCs w:val="24"/>
        </w:rPr>
        <w:t>caberá à Administração, com o auxílio do Setor de Engenharia,</w:t>
      </w:r>
      <w:r w:rsidRPr="003C4C93">
        <w:rPr>
          <w:rFonts w:ascii="Times New Roman" w:hAnsi="Times New Roman" w:cs="Times New Roman"/>
          <w:sz w:val="24"/>
          <w:szCs w:val="24"/>
        </w:rPr>
        <w:t xml:space="preserve"> apurar o quantitativo de serviços executados em conformidade com o</w:t>
      </w:r>
      <w:r w:rsidR="00BF1C3B" w:rsidRPr="003C4C93">
        <w:rPr>
          <w:rFonts w:ascii="Times New Roman" w:hAnsi="Times New Roman" w:cs="Times New Roman"/>
          <w:sz w:val="24"/>
          <w:szCs w:val="24"/>
        </w:rPr>
        <w:t xml:space="preserve"> que foi</w:t>
      </w:r>
      <w:r w:rsidRPr="003C4C93">
        <w:rPr>
          <w:rFonts w:ascii="Times New Roman" w:hAnsi="Times New Roman" w:cs="Times New Roman"/>
          <w:sz w:val="24"/>
          <w:szCs w:val="24"/>
        </w:rPr>
        <w:t xml:space="preserve"> contratado (consoante medições e glosas) e os custos de tais quantitativos</w:t>
      </w:r>
      <w:r w:rsidR="003D0C25" w:rsidRPr="003C4C93">
        <w:rPr>
          <w:rFonts w:ascii="Times New Roman" w:hAnsi="Times New Roman" w:cs="Times New Roman"/>
          <w:sz w:val="24"/>
          <w:szCs w:val="24"/>
        </w:rPr>
        <w:t>,</w:t>
      </w:r>
      <w:r w:rsidRPr="003C4C93">
        <w:rPr>
          <w:rFonts w:ascii="Times New Roman" w:hAnsi="Times New Roman" w:cs="Times New Roman"/>
          <w:sz w:val="24"/>
          <w:szCs w:val="24"/>
        </w:rPr>
        <w:t xml:space="preserve"> a fim de se fixar a indenização devida</w:t>
      </w:r>
      <w:r w:rsidR="003D0C25" w:rsidRPr="003C4C93">
        <w:rPr>
          <w:rFonts w:ascii="Times New Roman" w:hAnsi="Times New Roman" w:cs="Times New Roman"/>
          <w:sz w:val="24"/>
          <w:szCs w:val="24"/>
        </w:rPr>
        <w:t xml:space="preserve"> à empresa contratada.</w:t>
      </w:r>
      <w:r w:rsidRPr="003C4C93">
        <w:rPr>
          <w:rFonts w:ascii="Times New Roman" w:hAnsi="Times New Roman" w:cs="Times New Roman"/>
          <w:sz w:val="24"/>
          <w:szCs w:val="24"/>
        </w:rPr>
        <w:t xml:space="preserve"> </w:t>
      </w:r>
    </w:p>
    <w:p w:rsidR="00C009E6" w:rsidRDefault="002E7C76"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Os fatos que envolvem o presente processo administrativo sãos graves</w:t>
      </w:r>
      <w:r w:rsidR="0071596C" w:rsidRPr="003C4C93">
        <w:rPr>
          <w:rFonts w:ascii="Times New Roman" w:hAnsi="Times New Roman" w:cs="Times New Roman"/>
          <w:sz w:val="24"/>
          <w:szCs w:val="24"/>
        </w:rPr>
        <w:t>,</w:t>
      </w:r>
      <w:r w:rsidR="002A4596" w:rsidRPr="003C4C93">
        <w:rPr>
          <w:rFonts w:ascii="Times New Roman" w:hAnsi="Times New Roman" w:cs="Times New Roman"/>
          <w:sz w:val="24"/>
          <w:szCs w:val="24"/>
        </w:rPr>
        <w:t xml:space="preserve"> contudo, não se pô</w:t>
      </w:r>
      <w:r w:rsidR="00BF1C3B" w:rsidRPr="003C4C93">
        <w:rPr>
          <w:rFonts w:ascii="Times New Roman" w:hAnsi="Times New Roman" w:cs="Times New Roman"/>
          <w:sz w:val="24"/>
          <w:szCs w:val="24"/>
        </w:rPr>
        <w:t xml:space="preserve">de comprovar a existência de </w:t>
      </w:r>
      <w:r w:rsidR="00FE4B0B" w:rsidRPr="003C4C93">
        <w:rPr>
          <w:rFonts w:ascii="Times New Roman" w:hAnsi="Times New Roman" w:cs="Times New Roman"/>
          <w:sz w:val="24"/>
          <w:szCs w:val="24"/>
        </w:rPr>
        <w:t>dolo</w:t>
      </w:r>
      <w:r w:rsidR="00BF1C3B" w:rsidRPr="003C4C93">
        <w:rPr>
          <w:rFonts w:ascii="Times New Roman" w:hAnsi="Times New Roman" w:cs="Times New Roman"/>
          <w:sz w:val="24"/>
          <w:szCs w:val="24"/>
        </w:rPr>
        <w:t xml:space="preserve"> </w:t>
      </w:r>
      <w:r w:rsidR="00FE4B0B" w:rsidRPr="003C4C93">
        <w:rPr>
          <w:rFonts w:ascii="Times New Roman" w:hAnsi="Times New Roman" w:cs="Times New Roman"/>
          <w:sz w:val="24"/>
          <w:szCs w:val="24"/>
        </w:rPr>
        <w:t>em fraudar ou frustrar o caráter competitivo da licitação</w:t>
      </w:r>
      <w:r w:rsidR="00BF1C3B" w:rsidRPr="003C4C93">
        <w:rPr>
          <w:rFonts w:ascii="Times New Roman" w:hAnsi="Times New Roman" w:cs="Times New Roman"/>
          <w:sz w:val="24"/>
          <w:szCs w:val="24"/>
        </w:rPr>
        <w:t xml:space="preserve">, ficando apenas evidente </w:t>
      </w:r>
      <w:r w:rsidR="00FD5633" w:rsidRPr="003C4C93">
        <w:rPr>
          <w:rFonts w:ascii="Times New Roman" w:hAnsi="Times New Roman" w:cs="Times New Roman"/>
          <w:sz w:val="24"/>
          <w:szCs w:val="24"/>
        </w:rPr>
        <w:t xml:space="preserve">a grande divergência com a realidade do conteúdo </w:t>
      </w:r>
      <w:r w:rsidR="00BF1C3B" w:rsidRPr="003C4C93">
        <w:rPr>
          <w:rFonts w:ascii="Times New Roman" w:hAnsi="Times New Roman" w:cs="Times New Roman"/>
          <w:sz w:val="24"/>
          <w:szCs w:val="24"/>
        </w:rPr>
        <w:t xml:space="preserve">da </w:t>
      </w:r>
      <w:r w:rsidR="00D97807" w:rsidRPr="003C4C93">
        <w:rPr>
          <w:rFonts w:ascii="Times New Roman" w:eastAsia="DejaVu Serif" w:hAnsi="Times New Roman" w:cs="Times New Roman"/>
          <w:sz w:val="24"/>
          <w:szCs w:val="24"/>
        </w:rPr>
        <w:t>RRT/CAU nº 12008699 (</w:t>
      </w:r>
      <w:r w:rsidR="00D97807" w:rsidRPr="003C4C93">
        <w:rPr>
          <w:rFonts w:ascii="Times New Roman" w:hAnsi="Times New Roman" w:cs="Times New Roman"/>
          <w:sz w:val="24"/>
          <w:szCs w:val="24"/>
        </w:rPr>
        <w:t>Certidão de Acervo Técnico nº 743312)</w:t>
      </w:r>
      <w:r w:rsidR="00BF1C3B" w:rsidRPr="003C4C93">
        <w:rPr>
          <w:rFonts w:ascii="Times New Roman" w:hAnsi="Times New Roman" w:cs="Times New Roman"/>
          <w:sz w:val="24"/>
          <w:szCs w:val="24"/>
        </w:rPr>
        <w:t>, indicando</w:t>
      </w:r>
      <w:r w:rsidR="002B7C6B" w:rsidRPr="003C4C93">
        <w:rPr>
          <w:rFonts w:ascii="Times New Roman" w:hAnsi="Times New Roman" w:cs="Times New Roman"/>
          <w:sz w:val="24"/>
          <w:szCs w:val="24"/>
        </w:rPr>
        <w:t xml:space="preserve"> a execução de </w:t>
      </w:r>
      <w:r w:rsidR="00BF1C3B" w:rsidRPr="003C4C93">
        <w:rPr>
          <w:rFonts w:ascii="Times New Roman" w:hAnsi="Times New Roman" w:cs="Times New Roman"/>
          <w:sz w:val="24"/>
          <w:szCs w:val="24"/>
        </w:rPr>
        <w:t xml:space="preserve">reforma em </w:t>
      </w:r>
      <w:r w:rsidR="002B7C6B" w:rsidRPr="003C4C93">
        <w:rPr>
          <w:rFonts w:ascii="Times New Roman" w:hAnsi="Times New Roman" w:cs="Times New Roman"/>
          <w:sz w:val="24"/>
          <w:szCs w:val="24"/>
        </w:rPr>
        <w:t xml:space="preserve">área equivalente a mais de 154% da área do imóvel reformado e </w:t>
      </w:r>
      <w:r w:rsidR="00D97807" w:rsidRPr="003C4C93">
        <w:rPr>
          <w:rFonts w:ascii="Times New Roman" w:hAnsi="Times New Roman" w:cs="Times New Roman"/>
          <w:sz w:val="24"/>
          <w:szCs w:val="24"/>
        </w:rPr>
        <w:t>que sequer</w:t>
      </w:r>
      <w:r w:rsidR="002B7C6B" w:rsidRPr="003C4C93">
        <w:rPr>
          <w:rFonts w:ascii="Times New Roman" w:hAnsi="Times New Roman" w:cs="Times New Roman"/>
          <w:sz w:val="24"/>
          <w:szCs w:val="24"/>
        </w:rPr>
        <w:t xml:space="preserve"> foi ampliado</w:t>
      </w:r>
      <w:r w:rsidR="00D97807" w:rsidRPr="003C4C93">
        <w:rPr>
          <w:rFonts w:ascii="Times New Roman" w:hAnsi="Times New Roman" w:cs="Times New Roman"/>
          <w:sz w:val="24"/>
          <w:szCs w:val="24"/>
        </w:rPr>
        <w:t xml:space="preserve"> na reforma</w:t>
      </w:r>
      <w:r w:rsidR="002B7C6B" w:rsidRPr="003C4C93">
        <w:rPr>
          <w:rFonts w:ascii="Times New Roman" w:hAnsi="Times New Roman" w:cs="Times New Roman"/>
          <w:sz w:val="24"/>
          <w:szCs w:val="24"/>
        </w:rPr>
        <w:t>.</w:t>
      </w:r>
    </w:p>
    <w:p w:rsidR="00C009E6" w:rsidRDefault="00C009E6" w:rsidP="00C009E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Ou seja, não é possível concluir que os atos foram praticados “</w:t>
      </w:r>
      <w:r w:rsidRPr="003C4C93">
        <w:rPr>
          <w:rFonts w:ascii="Times New Roman" w:hAnsi="Times New Roman" w:cs="Times New Roman"/>
          <w:sz w:val="24"/>
          <w:szCs w:val="24"/>
        </w:rPr>
        <w:t xml:space="preserve">visando a frustrar </w:t>
      </w:r>
      <w:r>
        <w:rPr>
          <w:rFonts w:ascii="Times New Roman" w:hAnsi="Times New Roman" w:cs="Times New Roman"/>
          <w:sz w:val="24"/>
          <w:szCs w:val="24"/>
        </w:rPr>
        <w:t>os objetivos da licitação”.</w:t>
      </w:r>
    </w:p>
    <w:p w:rsidR="00C009E6" w:rsidRPr="003C4C93" w:rsidRDefault="00C009E6" w:rsidP="00C009E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Embora em um primeiro momento, tenha se entendido pela aplicação da sanção de declaração de inidoneidade, a falta de demonstração do dolo da empresa em frustrar os objetivos da licitação, é circunstância que impede a aplicação desta penalidade.</w:t>
      </w:r>
    </w:p>
    <w:p w:rsidR="002B7C6B" w:rsidRPr="003C4C93" w:rsidRDefault="002B7C6B" w:rsidP="002B7C6B">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Embora </w:t>
      </w:r>
      <w:r w:rsidR="00D97807" w:rsidRPr="003C4C93">
        <w:rPr>
          <w:rFonts w:ascii="Times New Roman" w:hAnsi="Times New Roman" w:cs="Times New Roman"/>
          <w:sz w:val="24"/>
          <w:szCs w:val="24"/>
        </w:rPr>
        <w:t>se possa presumir que a empresa contratada</w:t>
      </w:r>
      <w:r w:rsidRPr="003C4C93">
        <w:rPr>
          <w:rFonts w:ascii="Times New Roman" w:hAnsi="Times New Roman" w:cs="Times New Roman"/>
          <w:sz w:val="24"/>
          <w:szCs w:val="24"/>
        </w:rPr>
        <w:t xml:space="preserve"> tivesse</w:t>
      </w:r>
      <w:r w:rsidR="00F92F68" w:rsidRPr="003C4C93">
        <w:rPr>
          <w:rFonts w:ascii="Times New Roman" w:hAnsi="Times New Roman" w:cs="Times New Roman"/>
          <w:sz w:val="24"/>
          <w:szCs w:val="24"/>
        </w:rPr>
        <w:t xml:space="preserve"> </w:t>
      </w:r>
      <w:r w:rsidRPr="003C4C93">
        <w:rPr>
          <w:rFonts w:ascii="Times New Roman" w:hAnsi="Times New Roman" w:cs="Times New Roman"/>
          <w:sz w:val="24"/>
          <w:szCs w:val="24"/>
        </w:rPr>
        <w:t>conhecimento d</w:t>
      </w:r>
      <w:r w:rsidR="008752D7" w:rsidRPr="003C4C93">
        <w:rPr>
          <w:rFonts w:ascii="Times New Roman" w:hAnsi="Times New Roman" w:cs="Times New Roman"/>
          <w:sz w:val="24"/>
          <w:szCs w:val="24"/>
        </w:rPr>
        <w:t>o conteúdo da Certidão de Acer</w:t>
      </w:r>
      <w:r w:rsidR="00D97807" w:rsidRPr="003C4C93">
        <w:rPr>
          <w:rFonts w:ascii="Times New Roman" w:hAnsi="Times New Roman" w:cs="Times New Roman"/>
          <w:sz w:val="24"/>
          <w:szCs w:val="24"/>
        </w:rPr>
        <w:t xml:space="preserve">vo Técnico e </w:t>
      </w:r>
      <w:r w:rsidR="008752D7" w:rsidRPr="003C4C93">
        <w:rPr>
          <w:rFonts w:ascii="Times New Roman" w:hAnsi="Times New Roman" w:cs="Times New Roman"/>
          <w:sz w:val="24"/>
          <w:szCs w:val="24"/>
        </w:rPr>
        <w:t>do</w:t>
      </w:r>
      <w:r w:rsidRPr="003C4C93">
        <w:rPr>
          <w:rFonts w:ascii="Times New Roman" w:hAnsi="Times New Roman" w:cs="Times New Roman"/>
          <w:sz w:val="24"/>
          <w:szCs w:val="24"/>
        </w:rPr>
        <w:t xml:space="preserve"> atestado de capacidade técnica, não é possível </w:t>
      </w:r>
      <w:r w:rsidR="00D97807" w:rsidRPr="003C4C93">
        <w:rPr>
          <w:rFonts w:ascii="Times New Roman" w:hAnsi="Times New Roman" w:cs="Times New Roman"/>
          <w:sz w:val="24"/>
          <w:szCs w:val="24"/>
        </w:rPr>
        <w:t xml:space="preserve">afirmar </w:t>
      </w:r>
      <w:r w:rsidR="00F30EB9" w:rsidRPr="003C4C93">
        <w:rPr>
          <w:rFonts w:ascii="Times New Roman" w:hAnsi="Times New Roman" w:cs="Times New Roman"/>
          <w:sz w:val="24"/>
          <w:szCs w:val="24"/>
        </w:rPr>
        <w:t xml:space="preserve">com certeza </w:t>
      </w:r>
      <w:r w:rsidR="00D97807" w:rsidRPr="003C4C93">
        <w:rPr>
          <w:rFonts w:ascii="Times New Roman" w:hAnsi="Times New Roman" w:cs="Times New Roman"/>
          <w:sz w:val="24"/>
          <w:szCs w:val="24"/>
        </w:rPr>
        <w:t xml:space="preserve">que </w:t>
      </w:r>
      <w:r w:rsidRPr="003C4C93">
        <w:rPr>
          <w:rFonts w:ascii="Times New Roman" w:hAnsi="Times New Roman" w:cs="Times New Roman"/>
          <w:sz w:val="24"/>
          <w:szCs w:val="24"/>
        </w:rPr>
        <w:t xml:space="preserve">tinha conhecimento sobre </w:t>
      </w:r>
      <w:r w:rsidR="002A4596" w:rsidRPr="003C4C93">
        <w:rPr>
          <w:rFonts w:ascii="Times New Roman" w:hAnsi="Times New Roman" w:cs="Times New Roman"/>
          <w:sz w:val="24"/>
          <w:szCs w:val="24"/>
        </w:rPr>
        <w:t>os erros</w:t>
      </w:r>
      <w:r w:rsidR="00F92F68" w:rsidRPr="003C4C93">
        <w:rPr>
          <w:rFonts w:ascii="Times New Roman" w:hAnsi="Times New Roman" w:cs="Times New Roman"/>
          <w:sz w:val="24"/>
          <w:szCs w:val="24"/>
        </w:rPr>
        <w:t xml:space="preserve"> ou divergências</w:t>
      </w:r>
      <w:r w:rsidRPr="003C4C93">
        <w:rPr>
          <w:rFonts w:ascii="Times New Roman" w:hAnsi="Times New Roman" w:cs="Times New Roman"/>
          <w:sz w:val="24"/>
          <w:szCs w:val="24"/>
        </w:rPr>
        <w:t xml:space="preserve"> no preenchimento</w:t>
      </w:r>
      <w:r w:rsidR="008752D7" w:rsidRPr="003C4C93">
        <w:rPr>
          <w:rFonts w:ascii="Times New Roman" w:hAnsi="Times New Roman" w:cs="Times New Roman"/>
          <w:sz w:val="24"/>
          <w:szCs w:val="24"/>
        </w:rPr>
        <w:t xml:space="preserve"> do primeiro</w:t>
      </w:r>
      <w:r w:rsidR="00C009E6">
        <w:rPr>
          <w:rFonts w:ascii="Times New Roman" w:hAnsi="Times New Roman" w:cs="Times New Roman"/>
          <w:sz w:val="24"/>
          <w:szCs w:val="24"/>
        </w:rPr>
        <w:t xml:space="preserve">. Também não foi possível apurar se essas informações na </w:t>
      </w:r>
      <w:r w:rsidR="00C009E6" w:rsidRPr="003C4C93">
        <w:rPr>
          <w:rFonts w:ascii="Times New Roman" w:hAnsi="Times New Roman" w:cs="Times New Roman"/>
          <w:sz w:val="24"/>
          <w:szCs w:val="24"/>
        </w:rPr>
        <w:t>Certidão de Acervo Técnico e do atestado de capacidade técnica</w:t>
      </w:r>
      <w:r w:rsidR="00C009E6">
        <w:rPr>
          <w:rFonts w:ascii="Times New Roman" w:hAnsi="Times New Roman" w:cs="Times New Roman"/>
          <w:sz w:val="24"/>
          <w:szCs w:val="24"/>
        </w:rPr>
        <w:t>, foram inseridas dessa forma intencionalmente e com a participação da empresa</w:t>
      </w:r>
      <w:r w:rsidRPr="003C4C93">
        <w:rPr>
          <w:rFonts w:ascii="Times New Roman" w:hAnsi="Times New Roman" w:cs="Times New Roman"/>
          <w:sz w:val="24"/>
          <w:szCs w:val="24"/>
        </w:rPr>
        <w:t>.</w:t>
      </w:r>
    </w:p>
    <w:p w:rsidR="002E7C76" w:rsidRPr="003C4C93" w:rsidRDefault="002B7C6B"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 xml:space="preserve">De qualquer forma, </w:t>
      </w:r>
      <w:r w:rsidR="00D97807" w:rsidRPr="003C4C93">
        <w:rPr>
          <w:rFonts w:ascii="Times New Roman" w:hAnsi="Times New Roman" w:cs="Times New Roman"/>
          <w:sz w:val="24"/>
          <w:szCs w:val="24"/>
        </w:rPr>
        <w:t xml:space="preserve">a apresentação de tais documentos </w:t>
      </w:r>
      <w:r w:rsidRPr="003C4C93">
        <w:rPr>
          <w:rFonts w:ascii="Times New Roman" w:hAnsi="Times New Roman" w:cs="Times New Roman"/>
          <w:sz w:val="24"/>
          <w:szCs w:val="24"/>
        </w:rPr>
        <w:t>frustrou</w:t>
      </w:r>
      <w:r w:rsidR="0071596C" w:rsidRPr="003C4C93">
        <w:rPr>
          <w:rFonts w:ascii="Times New Roman" w:hAnsi="Times New Roman" w:cs="Times New Roman"/>
          <w:sz w:val="24"/>
          <w:szCs w:val="24"/>
        </w:rPr>
        <w:t xml:space="preserve"> os objetivos da licitação, que </w:t>
      </w:r>
      <w:r w:rsidRPr="003C4C93">
        <w:rPr>
          <w:rFonts w:ascii="Times New Roman" w:hAnsi="Times New Roman" w:cs="Times New Roman"/>
          <w:sz w:val="24"/>
          <w:szCs w:val="24"/>
        </w:rPr>
        <w:t>é</w:t>
      </w:r>
      <w:r w:rsidR="0071596C" w:rsidRPr="003C4C93">
        <w:rPr>
          <w:rFonts w:ascii="Times New Roman" w:hAnsi="Times New Roman" w:cs="Times New Roman"/>
          <w:sz w:val="24"/>
          <w:szCs w:val="24"/>
        </w:rPr>
        <w:t xml:space="preserve"> garantir o tratamento isonômico entre os licitantes e selecionar a proposta mais </w:t>
      </w:r>
      <w:r w:rsidR="002A4596" w:rsidRPr="003C4C93">
        <w:rPr>
          <w:rFonts w:ascii="Times New Roman" w:hAnsi="Times New Roman" w:cs="Times New Roman"/>
          <w:sz w:val="24"/>
          <w:szCs w:val="24"/>
        </w:rPr>
        <w:t>vantajosa para a Administração</w:t>
      </w:r>
      <w:r w:rsidR="00F92F68" w:rsidRPr="003C4C93">
        <w:rPr>
          <w:rFonts w:ascii="Times New Roman" w:hAnsi="Times New Roman" w:cs="Times New Roman"/>
          <w:sz w:val="24"/>
          <w:szCs w:val="24"/>
        </w:rPr>
        <w:t>,</w:t>
      </w:r>
      <w:r w:rsidR="002A4596" w:rsidRPr="003C4C93">
        <w:rPr>
          <w:rFonts w:ascii="Times New Roman" w:hAnsi="Times New Roman" w:cs="Times New Roman"/>
          <w:sz w:val="24"/>
          <w:szCs w:val="24"/>
        </w:rPr>
        <w:t xml:space="preserve"> </w:t>
      </w:r>
      <w:r w:rsidR="0071596C" w:rsidRPr="003C4C93">
        <w:rPr>
          <w:rFonts w:ascii="Times New Roman" w:hAnsi="Times New Roman" w:cs="Times New Roman"/>
          <w:sz w:val="24"/>
          <w:szCs w:val="24"/>
        </w:rPr>
        <w:t xml:space="preserve">dentre aquelas apresentadas </w:t>
      </w:r>
      <w:r w:rsidR="002A4596" w:rsidRPr="003C4C93">
        <w:rPr>
          <w:rFonts w:ascii="Times New Roman" w:hAnsi="Times New Roman" w:cs="Times New Roman"/>
          <w:sz w:val="24"/>
          <w:szCs w:val="24"/>
        </w:rPr>
        <w:t>por</w:t>
      </w:r>
      <w:r w:rsidR="0071596C" w:rsidRPr="003C4C93">
        <w:rPr>
          <w:rFonts w:ascii="Times New Roman" w:hAnsi="Times New Roman" w:cs="Times New Roman"/>
          <w:sz w:val="24"/>
          <w:szCs w:val="24"/>
        </w:rPr>
        <w:t xml:space="preserve"> empresas</w:t>
      </w:r>
      <w:r w:rsidR="002A4596" w:rsidRPr="003C4C93">
        <w:rPr>
          <w:rFonts w:ascii="Times New Roman" w:hAnsi="Times New Roman" w:cs="Times New Roman"/>
          <w:sz w:val="24"/>
          <w:szCs w:val="24"/>
        </w:rPr>
        <w:t xml:space="preserve"> devidamente </w:t>
      </w:r>
      <w:r w:rsidR="0071596C" w:rsidRPr="003C4C93">
        <w:rPr>
          <w:rFonts w:ascii="Times New Roman" w:hAnsi="Times New Roman" w:cs="Times New Roman"/>
          <w:sz w:val="24"/>
          <w:szCs w:val="24"/>
        </w:rPr>
        <w:t>capacitadas.</w:t>
      </w:r>
    </w:p>
    <w:p w:rsidR="009E7DCC" w:rsidRPr="003C4C93" w:rsidRDefault="002A4596" w:rsidP="002E7C76">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Pelo preenchimento</w:t>
      </w:r>
      <w:r w:rsidR="00F92F68" w:rsidRPr="003C4C93">
        <w:rPr>
          <w:rFonts w:ascii="Times New Roman" w:hAnsi="Times New Roman" w:cs="Times New Roman"/>
          <w:sz w:val="24"/>
          <w:szCs w:val="24"/>
        </w:rPr>
        <w:t xml:space="preserve"> equivocado</w:t>
      </w:r>
      <w:r w:rsidRPr="003C4C93">
        <w:rPr>
          <w:rFonts w:ascii="Times New Roman" w:hAnsi="Times New Roman" w:cs="Times New Roman"/>
          <w:sz w:val="24"/>
          <w:szCs w:val="24"/>
        </w:rPr>
        <w:t xml:space="preserve"> da RRT</w:t>
      </w:r>
      <w:r w:rsidR="009E7DCC" w:rsidRPr="003C4C93">
        <w:rPr>
          <w:rFonts w:ascii="Times New Roman" w:hAnsi="Times New Roman" w:cs="Times New Roman"/>
          <w:sz w:val="24"/>
          <w:szCs w:val="24"/>
        </w:rPr>
        <w:t>,</w:t>
      </w:r>
      <w:r w:rsidRPr="003C4C93">
        <w:rPr>
          <w:rFonts w:ascii="Times New Roman" w:hAnsi="Times New Roman" w:cs="Times New Roman"/>
          <w:sz w:val="24"/>
          <w:szCs w:val="24"/>
        </w:rPr>
        <w:t xml:space="preserve"> a empresa obteve</w:t>
      </w:r>
      <w:r w:rsidR="00FC7548">
        <w:rPr>
          <w:rFonts w:ascii="Times New Roman" w:hAnsi="Times New Roman" w:cs="Times New Roman"/>
          <w:sz w:val="24"/>
          <w:szCs w:val="24"/>
        </w:rPr>
        <w:t xml:space="preserve"> evidente</w:t>
      </w:r>
      <w:r w:rsidRPr="003C4C93">
        <w:rPr>
          <w:rFonts w:ascii="Times New Roman" w:hAnsi="Times New Roman" w:cs="Times New Roman"/>
          <w:sz w:val="24"/>
          <w:szCs w:val="24"/>
        </w:rPr>
        <w:t xml:space="preserve"> vantagem, pois se habilitou indevidamente em um processo licitatório para a execução de um serviço </w:t>
      </w:r>
      <w:r w:rsidR="00FC7548">
        <w:rPr>
          <w:rFonts w:ascii="Times New Roman" w:hAnsi="Times New Roman" w:cs="Times New Roman"/>
          <w:sz w:val="24"/>
          <w:szCs w:val="24"/>
        </w:rPr>
        <w:t>cuja</w:t>
      </w:r>
      <w:r w:rsidRPr="003C4C93">
        <w:rPr>
          <w:rFonts w:ascii="Times New Roman" w:hAnsi="Times New Roman" w:cs="Times New Roman"/>
          <w:sz w:val="24"/>
          <w:szCs w:val="24"/>
        </w:rPr>
        <w:t xml:space="preserve"> capacidade técnica</w:t>
      </w:r>
      <w:r w:rsidR="00FC7548">
        <w:rPr>
          <w:rFonts w:ascii="Times New Roman" w:hAnsi="Times New Roman" w:cs="Times New Roman"/>
          <w:sz w:val="24"/>
          <w:szCs w:val="24"/>
        </w:rPr>
        <w:t xml:space="preserve"> (</w:t>
      </w:r>
      <w:r w:rsidRPr="003C4C93">
        <w:rPr>
          <w:rFonts w:ascii="Times New Roman" w:hAnsi="Times New Roman" w:cs="Times New Roman"/>
          <w:sz w:val="24"/>
          <w:szCs w:val="24"/>
        </w:rPr>
        <w:t>requerida pelo edit</w:t>
      </w:r>
      <w:r w:rsidR="00EF4D23" w:rsidRPr="003C4C93">
        <w:rPr>
          <w:rFonts w:ascii="Times New Roman" w:hAnsi="Times New Roman" w:cs="Times New Roman"/>
          <w:sz w:val="24"/>
          <w:szCs w:val="24"/>
        </w:rPr>
        <w:t>al de licitação</w:t>
      </w:r>
      <w:r w:rsidR="00FC7548">
        <w:rPr>
          <w:rFonts w:ascii="Times New Roman" w:hAnsi="Times New Roman" w:cs="Times New Roman"/>
          <w:sz w:val="24"/>
          <w:szCs w:val="24"/>
        </w:rPr>
        <w:t>), não comprovou</w:t>
      </w:r>
      <w:r w:rsidRPr="003C4C93">
        <w:rPr>
          <w:rFonts w:ascii="Times New Roman" w:hAnsi="Times New Roman" w:cs="Times New Roman"/>
          <w:sz w:val="24"/>
          <w:szCs w:val="24"/>
        </w:rPr>
        <w:t>.</w:t>
      </w:r>
    </w:p>
    <w:p w:rsidR="00EF4D23" w:rsidRPr="003C4C93" w:rsidRDefault="00FC7548" w:rsidP="00E6735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 o</w:t>
      </w:r>
      <w:r w:rsidR="00EF4D23" w:rsidRPr="003C4C93">
        <w:rPr>
          <w:rFonts w:ascii="Times New Roman" w:hAnsi="Times New Roman" w:cs="Times New Roman"/>
          <w:sz w:val="24"/>
          <w:szCs w:val="24"/>
        </w:rPr>
        <w:t xml:space="preserve"> fato é grave e seus efeitos reverberaram</w:t>
      </w:r>
      <w:r w:rsidR="00E6735D" w:rsidRPr="003C4C93">
        <w:rPr>
          <w:rFonts w:ascii="Times New Roman" w:hAnsi="Times New Roman" w:cs="Times New Roman"/>
          <w:sz w:val="24"/>
          <w:szCs w:val="24"/>
        </w:rPr>
        <w:t xml:space="preserve"> no âmbito da Administração Pública municipal, causando</w:t>
      </w:r>
      <w:r w:rsidR="00D97807" w:rsidRPr="003C4C93">
        <w:rPr>
          <w:rFonts w:ascii="Times New Roman" w:hAnsi="Times New Roman" w:cs="Times New Roman"/>
          <w:sz w:val="24"/>
          <w:szCs w:val="24"/>
        </w:rPr>
        <w:t xml:space="preserve"> transtornos e prejuízos, incumbindo à Administração sancionar a empresa adequadamente. </w:t>
      </w:r>
    </w:p>
    <w:p w:rsidR="00506783" w:rsidRPr="003C4C93" w:rsidRDefault="00A74C05" w:rsidP="00506783">
      <w:pPr>
        <w:suppressAutoHyphens w:val="0"/>
        <w:spacing w:after="240" w:line="360" w:lineRule="auto"/>
        <w:jc w:val="both"/>
        <w:rPr>
          <w:rFonts w:ascii="Times New Roman" w:eastAsia="Times New Roman" w:hAnsi="Times New Roman" w:cs="Times New Roman"/>
          <w:b/>
          <w:color w:val="000000"/>
          <w:sz w:val="24"/>
          <w:szCs w:val="24"/>
          <w:lang w:eastAsia="pt-BR"/>
        </w:rPr>
      </w:pPr>
      <w:r w:rsidRPr="003C4C93">
        <w:rPr>
          <w:rFonts w:ascii="Times New Roman" w:eastAsia="Times New Roman" w:hAnsi="Times New Roman" w:cs="Times New Roman"/>
          <w:b/>
          <w:color w:val="000000"/>
          <w:sz w:val="24"/>
          <w:szCs w:val="24"/>
          <w:lang w:eastAsia="pt-BR"/>
        </w:rPr>
        <w:t>DISPOSITIVO</w:t>
      </w:r>
    </w:p>
    <w:p w:rsidR="00506783" w:rsidRPr="003C4C93" w:rsidRDefault="00506783" w:rsidP="006275F8">
      <w:pPr>
        <w:suppressAutoHyphens w:val="0"/>
        <w:spacing w:after="0" w:line="360" w:lineRule="auto"/>
        <w:jc w:val="both"/>
        <w:rPr>
          <w:rFonts w:ascii="Times New Roman" w:eastAsia="Times New Roman" w:hAnsi="Times New Roman" w:cs="Times New Roman"/>
          <w:color w:val="000000"/>
          <w:sz w:val="24"/>
          <w:szCs w:val="24"/>
          <w:lang w:eastAsia="pt-BR"/>
        </w:rPr>
      </w:pPr>
      <w:r w:rsidRPr="003C4C93">
        <w:rPr>
          <w:rFonts w:ascii="Times New Roman" w:eastAsia="Times New Roman" w:hAnsi="Times New Roman" w:cs="Times New Roman"/>
          <w:color w:val="000000"/>
          <w:sz w:val="24"/>
          <w:szCs w:val="24"/>
          <w:lang w:eastAsia="pt-BR"/>
        </w:rPr>
        <w:t xml:space="preserve">Diante do exposto e de acordo com as provas produzidas nos autos do </w:t>
      </w:r>
      <w:r w:rsidR="006929E7" w:rsidRPr="003C4C93">
        <w:rPr>
          <w:rFonts w:ascii="Times New Roman" w:eastAsia="Times New Roman" w:hAnsi="Times New Roman" w:cs="Times New Roman"/>
          <w:color w:val="000000"/>
          <w:sz w:val="24"/>
          <w:szCs w:val="24"/>
          <w:lang w:eastAsia="pt-BR"/>
        </w:rPr>
        <w:t xml:space="preserve">presente </w:t>
      </w:r>
      <w:r w:rsidRPr="003C4C93">
        <w:rPr>
          <w:rFonts w:ascii="Times New Roman" w:eastAsia="Times New Roman" w:hAnsi="Times New Roman" w:cs="Times New Roman"/>
          <w:color w:val="000000"/>
          <w:sz w:val="24"/>
          <w:szCs w:val="24"/>
          <w:lang w:eastAsia="pt-BR"/>
        </w:rPr>
        <w:t xml:space="preserve">processo administrativo movido em face da empresa </w:t>
      </w:r>
      <w:r w:rsidR="006929E7" w:rsidRPr="003C4C93">
        <w:rPr>
          <w:rFonts w:ascii="Times New Roman" w:eastAsia="Times New Roman" w:hAnsi="Times New Roman" w:cs="Times New Roman"/>
          <w:color w:val="000000"/>
          <w:sz w:val="24"/>
          <w:szCs w:val="24"/>
          <w:lang w:eastAsia="pt-BR"/>
        </w:rPr>
        <w:t>De Lucca Park Ltda</w:t>
      </w:r>
      <w:r w:rsidRPr="003C4C93">
        <w:rPr>
          <w:rFonts w:ascii="Times New Roman" w:eastAsia="Times New Roman" w:hAnsi="Times New Roman" w:cs="Times New Roman"/>
          <w:color w:val="000000"/>
          <w:sz w:val="24"/>
          <w:szCs w:val="24"/>
          <w:lang w:eastAsia="pt-BR"/>
        </w:rPr>
        <w:t xml:space="preserve">, acolho </w:t>
      </w:r>
      <w:r w:rsidR="006929E7" w:rsidRPr="003C4C93">
        <w:rPr>
          <w:rFonts w:ascii="Times New Roman" w:eastAsia="Times New Roman" w:hAnsi="Times New Roman" w:cs="Times New Roman"/>
          <w:color w:val="000000"/>
          <w:sz w:val="24"/>
          <w:szCs w:val="24"/>
          <w:lang w:eastAsia="pt-BR"/>
        </w:rPr>
        <w:t>em parte a sugestão d</w:t>
      </w:r>
      <w:r w:rsidRPr="003C4C93">
        <w:rPr>
          <w:rFonts w:ascii="Times New Roman" w:eastAsia="Times New Roman" w:hAnsi="Times New Roman" w:cs="Times New Roman"/>
          <w:color w:val="000000"/>
          <w:sz w:val="24"/>
          <w:szCs w:val="24"/>
          <w:lang w:eastAsia="pt-BR"/>
        </w:rPr>
        <w:t xml:space="preserve">o relatório </w:t>
      </w:r>
      <w:r w:rsidR="006929E7" w:rsidRPr="003C4C93">
        <w:rPr>
          <w:rFonts w:ascii="Times New Roman" w:eastAsia="Times New Roman" w:hAnsi="Times New Roman" w:cs="Times New Roman"/>
          <w:color w:val="000000"/>
          <w:sz w:val="24"/>
          <w:szCs w:val="24"/>
          <w:lang w:eastAsia="pt-BR"/>
        </w:rPr>
        <w:t xml:space="preserve">conclusivo </w:t>
      </w:r>
      <w:r w:rsidRPr="003C4C93">
        <w:rPr>
          <w:rFonts w:ascii="Times New Roman" w:eastAsia="Times New Roman" w:hAnsi="Times New Roman" w:cs="Times New Roman"/>
          <w:color w:val="000000"/>
          <w:sz w:val="24"/>
          <w:szCs w:val="24"/>
          <w:lang w:eastAsia="pt-BR"/>
        </w:rPr>
        <w:t>da Comissão Processante para:</w:t>
      </w:r>
    </w:p>
    <w:p w:rsidR="006929E7" w:rsidRPr="003C4C93" w:rsidRDefault="006929E7" w:rsidP="006929E7">
      <w:pPr>
        <w:pStyle w:val="PargrafodaLista"/>
        <w:numPr>
          <w:ilvl w:val="0"/>
          <w:numId w:val="9"/>
        </w:numPr>
        <w:spacing w:after="240" w:line="360" w:lineRule="auto"/>
        <w:jc w:val="both"/>
        <w:rPr>
          <w:rFonts w:ascii="Times New Roman" w:eastAsia="Times New Roman" w:hAnsi="Times New Roman"/>
          <w:color w:val="000000"/>
          <w:sz w:val="24"/>
          <w:szCs w:val="24"/>
          <w:lang w:eastAsia="pt-BR"/>
        </w:rPr>
      </w:pPr>
      <w:r w:rsidRPr="003C4C93">
        <w:rPr>
          <w:rFonts w:ascii="Times New Roman" w:eastAsia="Times New Roman" w:hAnsi="Times New Roman"/>
          <w:color w:val="000000"/>
          <w:sz w:val="24"/>
          <w:szCs w:val="24"/>
          <w:lang w:eastAsia="pt-BR"/>
        </w:rPr>
        <w:t>declarar a nulidade do Processo de Licitação nº 0175/2022, Edital de Tomada de Preço</w:t>
      </w:r>
      <w:r w:rsidR="00FC7548">
        <w:rPr>
          <w:rFonts w:ascii="Times New Roman" w:eastAsia="Times New Roman" w:hAnsi="Times New Roman"/>
          <w:color w:val="000000"/>
          <w:sz w:val="24"/>
          <w:szCs w:val="24"/>
          <w:lang w:eastAsia="pt-BR"/>
        </w:rPr>
        <w:t>s</w:t>
      </w:r>
      <w:r w:rsidRPr="003C4C93">
        <w:rPr>
          <w:rFonts w:ascii="Times New Roman" w:eastAsia="Times New Roman" w:hAnsi="Times New Roman"/>
          <w:color w:val="000000"/>
          <w:sz w:val="24"/>
          <w:szCs w:val="24"/>
          <w:lang w:eastAsia="pt-BR"/>
        </w:rPr>
        <w:t xml:space="preserve"> nº 0009/2022;</w:t>
      </w:r>
    </w:p>
    <w:p w:rsidR="006929E7" w:rsidRPr="003C4C93" w:rsidRDefault="00FE4B0B" w:rsidP="006929E7">
      <w:pPr>
        <w:pStyle w:val="PargrafodaLista"/>
        <w:numPr>
          <w:ilvl w:val="0"/>
          <w:numId w:val="9"/>
        </w:numPr>
        <w:spacing w:after="240" w:line="360" w:lineRule="auto"/>
        <w:jc w:val="both"/>
        <w:rPr>
          <w:rFonts w:ascii="Times New Roman" w:eastAsia="Times New Roman" w:hAnsi="Times New Roman"/>
          <w:color w:val="000000"/>
          <w:sz w:val="24"/>
          <w:szCs w:val="24"/>
          <w:lang w:eastAsia="pt-BR"/>
        </w:rPr>
      </w:pPr>
      <w:r w:rsidRPr="003C4C93">
        <w:rPr>
          <w:rFonts w:ascii="Times New Roman" w:eastAsia="Times New Roman" w:hAnsi="Times New Roman"/>
          <w:color w:val="000000"/>
          <w:sz w:val="24"/>
          <w:szCs w:val="24"/>
          <w:lang w:eastAsia="pt-BR"/>
        </w:rPr>
        <w:t xml:space="preserve">por consequência, </w:t>
      </w:r>
      <w:r w:rsidR="006929E7" w:rsidRPr="003C4C93">
        <w:rPr>
          <w:rFonts w:ascii="Times New Roman" w:eastAsia="Times New Roman" w:hAnsi="Times New Roman"/>
          <w:color w:val="000000"/>
          <w:sz w:val="24"/>
          <w:szCs w:val="24"/>
          <w:lang w:eastAsia="pt-BR"/>
        </w:rPr>
        <w:t>declarar a nulidade do contrato administrativo PMC nº 0002/2023, firmado com a empresa De Lucca Park Ltda;</w:t>
      </w:r>
    </w:p>
    <w:p w:rsidR="006929E7" w:rsidRPr="003C4C93" w:rsidRDefault="00FE4B0B" w:rsidP="006929E7">
      <w:pPr>
        <w:pStyle w:val="PargrafodaLista"/>
        <w:numPr>
          <w:ilvl w:val="0"/>
          <w:numId w:val="9"/>
        </w:numPr>
        <w:spacing w:after="240" w:line="360" w:lineRule="auto"/>
        <w:jc w:val="both"/>
        <w:rPr>
          <w:rFonts w:ascii="Times New Roman" w:eastAsia="Times New Roman" w:hAnsi="Times New Roman"/>
          <w:color w:val="000000"/>
          <w:sz w:val="24"/>
          <w:szCs w:val="24"/>
          <w:lang w:eastAsia="pt-BR"/>
        </w:rPr>
      </w:pPr>
      <w:r w:rsidRPr="003C4C93">
        <w:rPr>
          <w:rFonts w:ascii="Times New Roman" w:eastAsia="Times New Roman" w:hAnsi="Times New Roman"/>
          <w:color w:val="000000"/>
          <w:sz w:val="24"/>
          <w:szCs w:val="24"/>
          <w:lang w:eastAsia="pt-BR"/>
        </w:rPr>
        <w:t xml:space="preserve">determinar que </w:t>
      </w:r>
      <w:r w:rsidR="006929E7" w:rsidRPr="003C4C93">
        <w:rPr>
          <w:rFonts w:ascii="Times New Roman" w:eastAsia="Times New Roman" w:hAnsi="Times New Roman"/>
          <w:color w:val="000000"/>
          <w:sz w:val="24"/>
          <w:szCs w:val="24"/>
          <w:lang w:eastAsia="pt-BR"/>
        </w:rPr>
        <w:t>a empresa De Lucca Park Ltda</w:t>
      </w:r>
      <w:r w:rsidR="00FC7548">
        <w:rPr>
          <w:rFonts w:ascii="Times New Roman" w:eastAsia="Times New Roman" w:hAnsi="Times New Roman"/>
          <w:color w:val="000000"/>
          <w:sz w:val="24"/>
          <w:szCs w:val="24"/>
          <w:lang w:eastAsia="pt-BR"/>
        </w:rPr>
        <w:t>,</w:t>
      </w:r>
      <w:r w:rsidR="006929E7" w:rsidRPr="003C4C93">
        <w:rPr>
          <w:rFonts w:ascii="Times New Roman" w:hAnsi="Times New Roman"/>
          <w:sz w:val="24"/>
          <w:szCs w:val="24"/>
        </w:rPr>
        <w:t xml:space="preserve"> </w:t>
      </w:r>
      <w:r w:rsidRPr="003C4C93">
        <w:rPr>
          <w:rFonts w:ascii="Times New Roman" w:hAnsi="Times New Roman"/>
          <w:sz w:val="24"/>
          <w:szCs w:val="24"/>
        </w:rPr>
        <w:t>indenize os prejuízos causados ao Erário Municipal no valor de R$ 34.181,50</w:t>
      </w:r>
      <w:r w:rsidR="00DA4230" w:rsidRPr="003C4C93">
        <w:rPr>
          <w:rFonts w:ascii="Times New Roman" w:hAnsi="Times New Roman"/>
          <w:sz w:val="24"/>
          <w:szCs w:val="24"/>
        </w:rPr>
        <w:t>, conforme fundamentação, valor este que deverá ser atualizado monetariamente pelo IPCA/IBGE, desde a data desta decisão.</w:t>
      </w:r>
    </w:p>
    <w:p w:rsidR="005C03D0" w:rsidRPr="003C4C93" w:rsidRDefault="006929E7" w:rsidP="006929E7">
      <w:pPr>
        <w:spacing w:after="240" w:line="360" w:lineRule="auto"/>
        <w:jc w:val="both"/>
        <w:rPr>
          <w:rFonts w:ascii="Times New Roman" w:eastAsia="Times New Roman" w:hAnsi="Times New Roman" w:cs="Times New Roman"/>
          <w:color w:val="000000"/>
          <w:sz w:val="24"/>
          <w:szCs w:val="24"/>
          <w:lang w:eastAsia="pt-BR"/>
        </w:rPr>
      </w:pPr>
      <w:r w:rsidRPr="003C4C93">
        <w:rPr>
          <w:rFonts w:ascii="Times New Roman" w:hAnsi="Times New Roman" w:cs="Times New Roman"/>
          <w:color w:val="000000"/>
          <w:sz w:val="24"/>
          <w:szCs w:val="24"/>
        </w:rPr>
        <w:t>Def</w:t>
      </w:r>
      <w:r w:rsidR="00DA4230" w:rsidRPr="003C4C93">
        <w:rPr>
          <w:rFonts w:ascii="Times New Roman" w:hAnsi="Times New Roman" w:cs="Times New Roman"/>
          <w:color w:val="000000"/>
          <w:sz w:val="24"/>
          <w:szCs w:val="24"/>
        </w:rPr>
        <w:t>ere-se</w:t>
      </w:r>
      <w:r w:rsidRPr="003C4C93">
        <w:rPr>
          <w:rFonts w:ascii="Times New Roman" w:hAnsi="Times New Roman" w:cs="Times New Roman"/>
          <w:color w:val="000000"/>
          <w:sz w:val="24"/>
          <w:szCs w:val="24"/>
        </w:rPr>
        <w:t xml:space="preserve"> à empresa </w:t>
      </w:r>
      <w:r w:rsidRPr="003C4C93">
        <w:rPr>
          <w:rFonts w:ascii="Times New Roman" w:eastAsia="Times New Roman" w:hAnsi="Times New Roman" w:cs="Times New Roman"/>
          <w:color w:val="000000"/>
          <w:sz w:val="24"/>
          <w:szCs w:val="24"/>
          <w:lang w:eastAsia="pt-BR"/>
        </w:rPr>
        <w:t>De Lucca Park Ltda</w:t>
      </w:r>
      <w:r w:rsidR="00FC7548">
        <w:rPr>
          <w:rFonts w:ascii="Times New Roman" w:eastAsia="Times New Roman" w:hAnsi="Times New Roman" w:cs="Times New Roman"/>
          <w:color w:val="000000"/>
          <w:sz w:val="24"/>
          <w:szCs w:val="24"/>
          <w:lang w:eastAsia="pt-BR"/>
        </w:rPr>
        <w:t>,</w:t>
      </w:r>
      <w:r w:rsidRPr="003C4C93">
        <w:rPr>
          <w:rFonts w:ascii="Times New Roman" w:eastAsia="Times New Roman" w:hAnsi="Times New Roman" w:cs="Times New Roman"/>
          <w:color w:val="000000"/>
          <w:sz w:val="24"/>
          <w:szCs w:val="24"/>
          <w:lang w:eastAsia="pt-BR"/>
        </w:rPr>
        <w:t xml:space="preserve"> o direito de ser indenizada pelos serviços </w:t>
      </w:r>
      <w:r w:rsidR="005C03D0" w:rsidRPr="003C4C93">
        <w:rPr>
          <w:rFonts w:ascii="Times New Roman" w:eastAsia="Times New Roman" w:hAnsi="Times New Roman" w:cs="Times New Roman"/>
          <w:color w:val="000000"/>
          <w:sz w:val="24"/>
          <w:szCs w:val="24"/>
          <w:lang w:eastAsia="pt-BR"/>
        </w:rPr>
        <w:t xml:space="preserve">que tiverem sido </w:t>
      </w:r>
      <w:r w:rsidRPr="003C4C93">
        <w:rPr>
          <w:rFonts w:ascii="Times New Roman" w:eastAsia="Times New Roman" w:hAnsi="Times New Roman" w:cs="Times New Roman"/>
          <w:color w:val="000000"/>
          <w:sz w:val="24"/>
          <w:szCs w:val="24"/>
          <w:lang w:eastAsia="pt-BR"/>
        </w:rPr>
        <w:t>executados</w:t>
      </w:r>
      <w:r w:rsidR="00DA4230" w:rsidRPr="003C4C93">
        <w:rPr>
          <w:rFonts w:ascii="Times New Roman" w:eastAsia="Times New Roman" w:hAnsi="Times New Roman" w:cs="Times New Roman"/>
          <w:color w:val="000000"/>
          <w:sz w:val="24"/>
          <w:szCs w:val="24"/>
          <w:lang w:eastAsia="pt-BR"/>
        </w:rPr>
        <w:t>, até a presente data,</w:t>
      </w:r>
      <w:r w:rsidRPr="003C4C93">
        <w:rPr>
          <w:rFonts w:ascii="Times New Roman" w:eastAsia="Times New Roman" w:hAnsi="Times New Roman" w:cs="Times New Roman"/>
          <w:color w:val="000000"/>
          <w:sz w:val="24"/>
          <w:szCs w:val="24"/>
          <w:lang w:eastAsia="pt-BR"/>
        </w:rPr>
        <w:t xml:space="preserve"> </w:t>
      </w:r>
      <w:r w:rsidR="005C03D0" w:rsidRPr="003C4C93">
        <w:rPr>
          <w:rFonts w:ascii="Times New Roman" w:eastAsia="Times New Roman" w:hAnsi="Times New Roman" w:cs="Times New Roman"/>
          <w:color w:val="000000"/>
          <w:sz w:val="24"/>
          <w:szCs w:val="24"/>
          <w:lang w:eastAsia="pt-BR"/>
        </w:rPr>
        <w:t>em conformidade</w:t>
      </w:r>
      <w:r w:rsidRPr="003C4C93">
        <w:rPr>
          <w:rFonts w:ascii="Times New Roman" w:eastAsia="Times New Roman" w:hAnsi="Times New Roman" w:cs="Times New Roman"/>
          <w:color w:val="000000"/>
          <w:sz w:val="24"/>
          <w:szCs w:val="24"/>
          <w:lang w:eastAsia="pt-BR"/>
        </w:rPr>
        <w:t xml:space="preserve"> com o previsto no contrato anulado</w:t>
      </w:r>
      <w:r w:rsidR="00FC7548">
        <w:rPr>
          <w:rFonts w:ascii="Times New Roman" w:eastAsia="Times New Roman" w:hAnsi="Times New Roman" w:cs="Times New Roman"/>
          <w:color w:val="000000"/>
          <w:sz w:val="24"/>
          <w:szCs w:val="24"/>
          <w:lang w:eastAsia="pt-BR"/>
        </w:rPr>
        <w:t xml:space="preserve">, </w:t>
      </w:r>
      <w:r w:rsidR="00FC7548" w:rsidRPr="003C4C93">
        <w:rPr>
          <w:rFonts w:ascii="Times New Roman" w:hAnsi="Times New Roman" w:cs="Times New Roman"/>
          <w:sz w:val="24"/>
          <w:szCs w:val="24"/>
        </w:rPr>
        <w:t>valor este que deverá ser atualizado monetariamente pelo IPCA/I</w:t>
      </w:r>
      <w:r w:rsidR="00FC7548">
        <w:rPr>
          <w:rFonts w:ascii="Times New Roman" w:hAnsi="Times New Roman" w:cs="Times New Roman"/>
          <w:sz w:val="24"/>
          <w:szCs w:val="24"/>
        </w:rPr>
        <w:t>BGE, desde a data desta decisão</w:t>
      </w:r>
      <w:r w:rsidR="005C03D0" w:rsidRPr="003C4C93">
        <w:rPr>
          <w:rFonts w:ascii="Times New Roman" w:eastAsia="Times New Roman" w:hAnsi="Times New Roman" w:cs="Times New Roman"/>
          <w:color w:val="000000"/>
          <w:sz w:val="24"/>
          <w:szCs w:val="24"/>
          <w:lang w:eastAsia="pt-BR"/>
        </w:rPr>
        <w:t>.</w:t>
      </w:r>
    </w:p>
    <w:p w:rsidR="006929E7" w:rsidRPr="003C4C93" w:rsidRDefault="005C03D0" w:rsidP="006929E7">
      <w:pPr>
        <w:spacing w:after="240" w:line="360" w:lineRule="auto"/>
        <w:jc w:val="both"/>
        <w:rPr>
          <w:rFonts w:ascii="Times New Roman" w:eastAsia="Times New Roman" w:hAnsi="Times New Roman" w:cs="Times New Roman"/>
          <w:color w:val="000000"/>
          <w:sz w:val="24"/>
          <w:szCs w:val="24"/>
          <w:lang w:eastAsia="pt-BR"/>
        </w:rPr>
      </w:pPr>
      <w:r w:rsidRPr="003C4C93">
        <w:rPr>
          <w:rFonts w:ascii="Times New Roman" w:eastAsia="Times New Roman" w:hAnsi="Times New Roman" w:cs="Times New Roman"/>
          <w:color w:val="000000"/>
          <w:sz w:val="24"/>
          <w:szCs w:val="24"/>
          <w:lang w:eastAsia="pt-BR"/>
        </w:rPr>
        <w:t xml:space="preserve">A indenização deverá corresponder ao </w:t>
      </w:r>
      <w:r w:rsidR="006929E7" w:rsidRPr="003C4C93">
        <w:rPr>
          <w:rFonts w:ascii="Times New Roman" w:eastAsia="Times New Roman" w:hAnsi="Times New Roman" w:cs="Times New Roman"/>
          <w:color w:val="000000"/>
          <w:sz w:val="24"/>
          <w:szCs w:val="24"/>
          <w:lang w:eastAsia="pt-BR"/>
        </w:rPr>
        <w:t>valor do custo de tais serviços</w:t>
      </w:r>
      <w:r w:rsidRPr="003C4C93">
        <w:rPr>
          <w:rFonts w:ascii="Times New Roman" w:eastAsia="Times New Roman" w:hAnsi="Times New Roman" w:cs="Times New Roman"/>
          <w:color w:val="000000"/>
          <w:sz w:val="24"/>
          <w:szCs w:val="24"/>
          <w:lang w:eastAsia="pt-BR"/>
        </w:rPr>
        <w:t xml:space="preserve"> na data da assinatura do contrato</w:t>
      </w:r>
      <w:r w:rsidR="006929E7" w:rsidRPr="003C4C93">
        <w:rPr>
          <w:rFonts w:ascii="Times New Roman" w:eastAsia="Times New Roman" w:hAnsi="Times New Roman" w:cs="Times New Roman"/>
          <w:color w:val="000000"/>
          <w:sz w:val="24"/>
          <w:szCs w:val="24"/>
          <w:lang w:eastAsia="pt-BR"/>
        </w:rPr>
        <w:t xml:space="preserve">, </w:t>
      </w:r>
      <w:r w:rsidRPr="003C4C93">
        <w:rPr>
          <w:rFonts w:ascii="Times New Roman" w:eastAsia="Times New Roman" w:hAnsi="Times New Roman" w:cs="Times New Roman"/>
          <w:color w:val="000000"/>
          <w:sz w:val="24"/>
          <w:szCs w:val="24"/>
          <w:lang w:eastAsia="pt-BR"/>
        </w:rPr>
        <w:t xml:space="preserve">excluindo-se do valor a margem de lucro. O </w:t>
      </w:r>
      <w:r w:rsidR="006929E7" w:rsidRPr="003C4C93">
        <w:rPr>
          <w:rFonts w:ascii="Times New Roman" w:eastAsia="Times New Roman" w:hAnsi="Times New Roman" w:cs="Times New Roman"/>
          <w:color w:val="000000"/>
          <w:sz w:val="24"/>
          <w:szCs w:val="24"/>
          <w:lang w:eastAsia="pt-BR"/>
        </w:rPr>
        <w:t xml:space="preserve">montante </w:t>
      </w:r>
      <w:r w:rsidRPr="003C4C93">
        <w:rPr>
          <w:rFonts w:ascii="Times New Roman" w:eastAsia="Times New Roman" w:hAnsi="Times New Roman" w:cs="Times New Roman"/>
          <w:color w:val="000000"/>
          <w:sz w:val="24"/>
          <w:szCs w:val="24"/>
          <w:lang w:eastAsia="pt-BR"/>
        </w:rPr>
        <w:t>deverá</w:t>
      </w:r>
      <w:r w:rsidR="006929E7" w:rsidRPr="003C4C93">
        <w:rPr>
          <w:rFonts w:ascii="Times New Roman" w:eastAsia="Times New Roman" w:hAnsi="Times New Roman" w:cs="Times New Roman"/>
          <w:color w:val="000000"/>
          <w:sz w:val="24"/>
          <w:szCs w:val="24"/>
          <w:lang w:eastAsia="pt-BR"/>
        </w:rPr>
        <w:t xml:space="preserve"> ser apurado pelo Setor de Engenharia em procedimento próprio</w:t>
      </w:r>
      <w:r w:rsidRPr="003C4C93">
        <w:rPr>
          <w:rFonts w:ascii="Times New Roman" w:eastAsia="Times New Roman" w:hAnsi="Times New Roman" w:cs="Times New Roman"/>
          <w:color w:val="000000"/>
          <w:sz w:val="24"/>
          <w:szCs w:val="24"/>
          <w:lang w:eastAsia="pt-BR"/>
        </w:rPr>
        <w:t>, não podendo o valor da indenização ser superior ao preço pactuado no contrato anulado.</w:t>
      </w:r>
    </w:p>
    <w:p w:rsidR="00506783" w:rsidRPr="003C4C93" w:rsidRDefault="00506783" w:rsidP="006929E7">
      <w:pPr>
        <w:spacing w:after="240" w:line="360" w:lineRule="auto"/>
        <w:jc w:val="both"/>
        <w:rPr>
          <w:rFonts w:ascii="Times New Roman" w:hAnsi="Times New Roman" w:cs="Times New Roman"/>
          <w:color w:val="000000"/>
          <w:sz w:val="24"/>
          <w:szCs w:val="24"/>
        </w:rPr>
      </w:pPr>
      <w:r w:rsidRPr="003C4C93">
        <w:rPr>
          <w:rFonts w:ascii="Times New Roman" w:hAnsi="Times New Roman" w:cs="Times New Roman"/>
          <w:color w:val="000000"/>
          <w:sz w:val="24"/>
          <w:szCs w:val="24"/>
        </w:rPr>
        <w:t>Intime-se a empresa processada.</w:t>
      </w:r>
    </w:p>
    <w:p w:rsidR="00506783" w:rsidRPr="003C4C93" w:rsidRDefault="00506783" w:rsidP="006929E7">
      <w:pPr>
        <w:spacing w:after="240" w:line="360" w:lineRule="auto"/>
        <w:jc w:val="both"/>
        <w:rPr>
          <w:rFonts w:ascii="Times New Roman" w:hAnsi="Times New Roman" w:cs="Times New Roman"/>
          <w:color w:val="000000"/>
          <w:sz w:val="24"/>
          <w:szCs w:val="24"/>
        </w:rPr>
      </w:pPr>
      <w:r w:rsidRPr="003C4C93">
        <w:rPr>
          <w:rFonts w:ascii="Times New Roman" w:hAnsi="Times New Roman" w:cs="Times New Roman"/>
          <w:color w:val="000000"/>
          <w:sz w:val="24"/>
          <w:szCs w:val="24"/>
        </w:rPr>
        <w:t>Publique-se a presente decisão no DOM e no site do Município, nos moldes do art. 24 do Decreto nº 2.365/2018.</w:t>
      </w:r>
    </w:p>
    <w:p w:rsidR="00BF1022" w:rsidRPr="003C4C93" w:rsidRDefault="00BF1022" w:rsidP="006929E7">
      <w:pPr>
        <w:spacing w:after="240" w:line="360" w:lineRule="auto"/>
        <w:jc w:val="both"/>
        <w:rPr>
          <w:rFonts w:ascii="Times New Roman" w:hAnsi="Times New Roman" w:cs="Times New Roman"/>
          <w:color w:val="000000"/>
          <w:sz w:val="24"/>
          <w:szCs w:val="24"/>
        </w:rPr>
      </w:pPr>
      <w:r w:rsidRPr="003C4C93">
        <w:rPr>
          <w:rFonts w:ascii="Times New Roman" w:hAnsi="Times New Roman" w:cs="Times New Roman"/>
          <w:color w:val="000000"/>
          <w:sz w:val="24"/>
          <w:szCs w:val="24"/>
        </w:rPr>
        <w:t>Transitado em julgado a presente decisão, ao Setor de Engenharia para que apure o valor da indenização, cujos relatórios e planilhas deverão retornar à Secretaria para homologação.</w:t>
      </w:r>
    </w:p>
    <w:p w:rsidR="0025019B" w:rsidRPr="003C4C93" w:rsidRDefault="00506783" w:rsidP="00506783">
      <w:pPr>
        <w:spacing w:after="240" w:line="360" w:lineRule="auto"/>
        <w:jc w:val="both"/>
        <w:rPr>
          <w:rFonts w:ascii="Times New Roman" w:hAnsi="Times New Roman" w:cs="Times New Roman"/>
          <w:sz w:val="24"/>
          <w:szCs w:val="24"/>
        </w:rPr>
      </w:pPr>
      <w:r w:rsidRPr="003C4C93">
        <w:rPr>
          <w:rFonts w:ascii="Times New Roman" w:hAnsi="Times New Roman" w:cs="Times New Roman"/>
          <w:sz w:val="24"/>
          <w:szCs w:val="24"/>
        </w:rPr>
        <w:t>Catanduvas – SC,</w:t>
      </w:r>
      <w:r w:rsidRPr="003C4C93">
        <w:rPr>
          <w:rFonts w:ascii="Times New Roman" w:eastAsia="Myriad Pro" w:hAnsi="Times New Roman" w:cs="Times New Roman"/>
          <w:sz w:val="24"/>
          <w:szCs w:val="24"/>
        </w:rPr>
        <w:t xml:space="preserve"> </w:t>
      </w:r>
      <w:r w:rsidR="00FC7548">
        <w:rPr>
          <w:rFonts w:ascii="Times New Roman" w:eastAsia="Myriad Pro" w:hAnsi="Times New Roman" w:cs="Times New Roman"/>
          <w:sz w:val="24"/>
          <w:szCs w:val="24"/>
        </w:rPr>
        <w:t>18 de janeiro de 2024</w:t>
      </w:r>
      <w:r w:rsidR="00DA4230" w:rsidRPr="003C4C93">
        <w:rPr>
          <w:rFonts w:ascii="Times New Roman" w:eastAsia="Myriad Pro" w:hAnsi="Times New Roman" w:cs="Times New Roman"/>
          <w:sz w:val="24"/>
          <w:szCs w:val="24"/>
        </w:rPr>
        <w:t>.</w:t>
      </w:r>
    </w:p>
    <w:p w:rsidR="006275F8" w:rsidRPr="003C4C93" w:rsidRDefault="006275F8" w:rsidP="00506783">
      <w:pPr>
        <w:spacing w:after="240" w:line="360" w:lineRule="auto"/>
        <w:jc w:val="both"/>
        <w:rPr>
          <w:rFonts w:ascii="Times New Roman" w:hAnsi="Times New Roman" w:cs="Times New Roman"/>
          <w:sz w:val="24"/>
          <w:szCs w:val="24"/>
        </w:rPr>
      </w:pPr>
    </w:p>
    <w:p w:rsidR="00A74C05" w:rsidRPr="003C4C93" w:rsidRDefault="00A74C05" w:rsidP="00506783">
      <w:pPr>
        <w:spacing w:after="0" w:line="240" w:lineRule="auto"/>
        <w:jc w:val="center"/>
        <w:rPr>
          <w:rFonts w:ascii="Times New Roman" w:hAnsi="Times New Roman" w:cs="Times New Roman"/>
          <w:b/>
          <w:sz w:val="24"/>
          <w:szCs w:val="24"/>
        </w:rPr>
      </w:pPr>
      <w:r w:rsidRPr="003C4C93">
        <w:rPr>
          <w:rFonts w:ascii="Times New Roman" w:hAnsi="Times New Roman" w:cs="Times New Roman"/>
          <w:b/>
          <w:sz w:val="24"/>
          <w:szCs w:val="24"/>
        </w:rPr>
        <w:t xml:space="preserve">Secretária Municipal </w:t>
      </w:r>
      <w:r w:rsidR="0033769C" w:rsidRPr="003C4C93">
        <w:rPr>
          <w:rFonts w:ascii="Times New Roman" w:hAnsi="Times New Roman" w:cs="Times New Roman"/>
          <w:b/>
          <w:sz w:val="24"/>
          <w:szCs w:val="24"/>
        </w:rPr>
        <w:t>de</w:t>
      </w:r>
      <w:r w:rsidR="006929E7" w:rsidRPr="003C4C93">
        <w:rPr>
          <w:rFonts w:ascii="Times New Roman" w:hAnsi="Times New Roman" w:cs="Times New Roman"/>
          <w:b/>
          <w:sz w:val="24"/>
          <w:szCs w:val="24"/>
        </w:rPr>
        <w:t xml:space="preserve"> Educação, Cultura e Desporto</w:t>
      </w:r>
    </w:p>
    <w:p w:rsidR="006929E7" w:rsidRPr="003C4C93" w:rsidRDefault="006929E7" w:rsidP="00506783">
      <w:pPr>
        <w:spacing w:after="0" w:line="240" w:lineRule="auto"/>
        <w:jc w:val="center"/>
        <w:rPr>
          <w:rFonts w:ascii="Times New Roman" w:hAnsi="Times New Roman" w:cs="Times New Roman"/>
          <w:b/>
          <w:sz w:val="24"/>
          <w:szCs w:val="24"/>
        </w:rPr>
      </w:pPr>
      <w:r w:rsidRPr="003C4C93">
        <w:rPr>
          <w:rFonts w:ascii="Times New Roman" w:hAnsi="Times New Roman" w:cs="Times New Roman"/>
          <w:b/>
          <w:sz w:val="24"/>
          <w:szCs w:val="24"/>
        </w:rPr>
        <w:t>Veroni Cassiano de Morais Dalapria</w:t>
      </w:r>
    </w:p>
    <w:p w:rsidR="00506783" w:rsidRPr="003C4C93" w:rsidRDefault="00506783" w:rsidP="006275F8">
      <w:pPr>
        <w:spacing w:after="0" w:line="240" w:lineRule="auto"/>
        <w:jc w:val="center"/>
        <w:rPr>
          <w:rFonts w:ascii="Times New Roman" w:eastAsia="DejaVu Serif" w:hAnsi="Times New Roman" w:cs="Times New Roman"/>
          <w:sz w:val="24"/>
          <w:szCs w:val="24"/>
        </w:rPr>
      </w:pPr>
    </w:p>
    <w:sectPr w:rsidR="00506783" w:rsidRPr="003C4C93" w:rsidSect="003059CC">
      <w:pgSz w:w="11906" w:h="16838"/>
      <w:pgMar w:top="1985" w:right="1134"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A8" w:rsidRDefault="007509A8">
      <w:pPr>
        <w:spacing w:after="0" w:line="240" w:lineRule="auto"/>
      </w:pPr>
      <w:r>
        <w:separator/>
      </w:r>
    </w:p>
  </w:endnote>
  <w:endnote w:type="continuationSeparator" w:id="0">
    <w:p w:rsidR="007509A8" w:rsidRDefault="0075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80"/>
    <w:family w:val="auto"/>
    <w:pitch w:val="variable"/>
  </w:font>
  <w:font w:name="DejaVu Serif">
    <w:altName w:val="Yu Gothic"/>
    <w:charset w:val="00"/>
    <w:family w:val="roman"/>
    <w:pitch w:val="variable"/>
    <w:sig w:usb0="E40006FF" w:usb1="5200F9FB" w:usb2="0A040020" w:usb3="00000000" w:csb0="0000009F" w:csb1="00000000"/>
  </w:font>
  <w:font w:name="Myriad Pro">
    <w:altName w:val="MS Gothic"/>
    <w:charset w:val="8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A8" w:rsidRDefault="007509A8">
      <w:pPr>
        <w:spacing w:after="0" w:line="240" w:lineRule="auto"/>
      </w:pPr>
      <w:r>
        <w:separator/>
      </w:r>
    </w:p>
  </w:footnote>
  <w:footnote w:type="continuationSeparator" w:id="0">
    <w:p w:rsidR="007509A8" w:rsidRDefault="00750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31341"/>
    <w:multiLevelType w:val="hybridMultilevel"/>
    <w:tmpl w:val="BCCECFCE"/>
    <w:lvl w:ilvl="0" w:tplc="2E98E9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55796"/>
    <w:multiLevelType w:val="multilevel"/>
    <w:tmpl w:val="E0DE22EE"/>
    <w:lvl w:ilvl="0">
      <w:start w:val="5"/>
      <w:numFmt w:val="decimal"/>
      <w:lvlText w:val="%1"/>
      <w:lvlJc w:val="left"/>
      <w:pPr>
        <w:ind w:left="360" w:hanging="360"/>
      </w:pPr>
      <w:rPr>
        <w:rFonts w:hint="default"/>
        <w:i/>
      </w:rPr>
    </w:lvl>
    <w:lvl w:ilvl="1">
      <w:start w:val="3"/>
      <w:numFmt w:val="decimal"/>
      <w:lvlText w:val="%1.%2"/>
      <w:lvlJc w:val="left"/>
      <w:pPr>
        <w:ind w:left="2629"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09F107D2"/>
    <w:multiLevelType w:val="hybridMultilevel"/>
    <w:tmpl w:val="5EDC8B10"/>
    <w:lvl w:ilvl="0" w:tplc="77E29CA4">
      <w:start w:val="1"/>
      <w:numFmt w:val="lowerLetter"/>
      <w:lvlText w:val="(%1)"/>
      <w:lvlJc w:val="left"/>
      <w:pPr>
        <w:ind w:left="2204" w:hanging="360"/>
      </w:pPr>
      <w:rPr>
        <w:rFonts w:hint="default"/>
        <w:sz w:val="20"/>
        <w:szCs w:val="2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D0A4988"/>
    <w:multiLevelType w:val="hybridMultilevel"/>
    <w:tmpl w:val="ED52EDA4"/>
    <w:lvl w:ilvl="0" w:tplc="E36891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30F63"/>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F2315A"/>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D0675A"/>
    <w:multiLevelType w:val="hybridMultilevel"/>
    <w:tmpl w:val="1172C0A0"/>
    <w:lvl w:ilvl="0" w:tplc="A01A7F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CD32777"/>
    <w:multiLevelType w:val="hybridMultilevel"/>
    <w:tmpl w:val="C0203FD4"/>
    <w:lvl w:ilvl="0" w:tplc="5FF83294">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A37906"/>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41475D"/>
    <w:multiLevelType w:val="hybridMultilevel"/>
    <w:tmpl w:val="CC98708E"/>
    <w:lvl w:ilvl="0" w:tplc="0416000B">
      <w:start w:val="1"/>
      <w:numFmt w:val="bullet"/>
      <w:lvlText w:val=""/>
      <w:lvlJc w:val="left"/>
      <w:pPr>
        <w:tabs>
          <w:tab w:val="num" w:pos="721"/>
        </w:tabs>
        <w:ind w:left="721" w:hanging="360"/>
      </w:pPr>
      <w:rPr>
        <w:rFonts w:ascii="Wingdings" w:hAnsi="Wingdings" w:hint="default"/>
      </w:rPr>
    </w:lvl>
    <w:lvl w:ilvl="1" w:tplc="04160003" w:tentative="1">
      <w:start w:val="1"/>
      <w:numFmt w:val="bullet"/>
      <w:lvlText w:val="o"/>
      <w:lvlJc w:val="left"/>
      <w:pPr>
        <w:tabs>
          <w:tab w:val="num" w:pos="1441"/>
        </w:tabs>
        <w:ind w:left="1441" w:hanging="360"/>
      </w:pPr>
      <w:rPr>
        <w:rFonts w:ascii="Courier New" w:hAnsi="Courier New" w:cs="Courier New" w:hint="default"/>
      </w:rPr>
    </w:lvl>
    <w:lvl w:ilvl="2" w:tplc="04160005" w:tentative="1">
      <w:start w:val="1"/>
      <w:numFmt w:val="bullet"/>
      <w:lvlText w:val=""/>
      <w:lvlJc w:val="left"/>
      <w:pPr>
        <w:tabs>
          <w:tab w:val="num" w:pos="2161"/>
        </w:tabs>
        <w:ind w:left="2161" w:hanging="360"/>
      </w:pPr>
      <w:rPr>
        <w:rFonts w:ascii="Wingdings" w:hAnsi="Wingdings" w:hint="default"/>
      </w:rPr>
    </w:lvl>
    <w:lvl w:ilvl="3" w:tplc="04160001" w:tentative="1">
      <w:start w:val="1"/>
      <w:numFmt w:val="bullet"/>
      <w:lvlText w:val=""/>
      <w:lvlJc w:val="left"/>
      <w:pPr>
        <w:tabs>
          <w:tab w:val="num" w:pos="2881"/>
        </w:tabs>
        <w:ind w:left="2881" w:hanging="360"/>
      </w:pPr>
      <w:rPr>
        <w:rFonts w:ascii="Symbol" w:hAnsi="Symbol" w:hint="default"/>
      </w:rPr>
    </w:lvl>
    <w:lvl w:ilvl="4" w:tplc="04160003" w:tentative="1">
      <w:start w:val="1"/>
      <w:numFmt w:val="bullet"/>
      <w:lvlText w:val="o"/>
      <w:lvlJc w:val="left"/>
      <w:pPr>
        <w:tabs>
          <w:tab w:val="num" w:pos="3601"/>
        </w:tabs>
        <w:ind w:left="3601" w:hanging="360"/>
      </w:pPr>
      <w:rPr>
        <w:rFonts w:ascii="Courier New" w:hAnsi="Courier New" w:cs="Courier New" w:hint="default"/>
      </w:rPr>
    </w:lvl>
    <w:lvl w:ilvl="5" w:tplc="04160005" w:tentative="1">
      <w:start w:val="1"/>
      <w:numFmt w:val="bullet"/>
      <w:lvlText w:val=""/>
      <w:lvlJc w:val="left"/>
      <w:pPr>
        <w:tabs>
          <w:tab w:val="num" w:pos="4321"/>
        </w:tabs>
        <w:ind w:left="4321" w:hanging="360"/>
      </w:pPr>
      <w:rPr>
        <w:rFonts w:ascii="Wingdings" w:hAnsi="Wingdings" w:hint="default"/>
      </w:rPr>
    </w:lvl>
    <w:lvl w:ilvl="6" w:tplc="04160001" w:tentative="1">
      <w:start w:val="1"/>
      <w:numFmt w:val="bullet"/>
      <w:lvlText w:val=""/>
      <w:lvlJc w:val="left"/>
      <w:pPr>
        <w:tabs>
          <w:tab w:val="num" w:pos="5041"/>
        </w:tabs>
        <w:ind w:left="5041" w:hanging="360"/>
      </w:pPr>
      <w:rPr>
        <w:rFonts w:ascii="Symbol" w:hAnsi="Symbol" w:hint="default"/>
      </w:rPr>
    </w:lvl>
    <w:lvl w:ilvl="7" w:tplc="04160003" w:tentative="1">
      <w:start w:val="1"/>
      <w:numFmt w:val="bullet"/>
      <w:lvlText w:val="o"/>
      <w:lvlJc w:val="left"/>
      <w:pPr>
        <w:tabs>
          <w:tab w:val="num" w:pos="5761"/>
        </w:tabs>
        <w:ind w:left="5761" w:hanging="360"/>
      </w:pPr>
      <w:rPr>
        <w:rFonts w:ascii="Courier New" w:hAnsi="Courier New" w:cs="Courier New" w:hint="default"/>
      </w:rPr>
    </w:lvl>
    <w:lvl w:ilvl="8" w:tplc="04160005" w:tentative="1">
      <w:start w:val="1"/>
      <w:numFmt w:val="bullet"/>
      <w:lvlText w:val=""/>
      <w:lvlJc w:val="left"/>
      <w:pPr>
        <w:tabs>
          <w:tab w:val="num" w:pos="6481"/>
        </w:tabs>
        <w:ind w:left="6481" w:hanging="360"/>
      </w:pPr>
      <w:rPr>
        <w:rFonts w:ascii="Wingdings" w:hAnsi="Wingdings" w:hint="default"/>
      </w:rPr>
    </w:lvl>
  </w:abstractNum>
  <w:abstractNum w:abstractNumId="11" w15:restartNumberingAfterBreak="0">
    <w:nsid w:val="68AC6E8D"/>
    <w:multiLevelType w:val="hybridMultilevel"/>
    <w:tmpl w:val="7652C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B72AD4"/>
    <w:multiLevelType w:val="hybridMultilevel"/>
    <w:tmpl w:val="EF66D52A"/>
    <w:lvl w:ilvl="0" w:tplc="2FA4FC10">
      <w:start w:val="1"/>
      <w:numFmt w:val="lowerLetter"/>
      <w:lvlText w:val="%1."/>
      <w:lvlJc w:val="left"/>
      <w:pPr>
        <w:ind w:left="360" w:hanging="360"/>
      </w:pPr>
      <w:rPr>
        <w:rFonts w:hint="default"/>
        <w:b w:val="0"/>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7DD06566"/>
    <w:multiLevelType w:val="multilevel"/>
    <w:tmpl w:val="6D90CC2E"/>
    <w:lvl w:ilvl="0">
      <w:start w:val="1"/>
      <w:numFmt w:val="decimal"/>
      <w:lvlText w:val="%1."/>
      <w:lvlJc w:val="left"/>
      <w:pPr>
        <w:ind w:left="360" w:hanging="360"/>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907" w:hanging="90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0"/>
  </w:num>
  <w:num w:numId="3">
    <w:abstractNumId w:val="7"/>
  </w:num>
  <w:num w:numId="4">
    <w:abstractNumId w:val="8"/>
  </w:num>
  <w:num w:numId="5">
    <w:abstractNumId w:val="9"/>
  </w:num>
  <w:num w:numId="6">
    <w:abstractNumId w:val="5"/>
  </w:num>
  <w:num w:numId="7">
    <w:abstractNumId w:val="6"/>
  </w:num>
  <w:num w:numId="8">
    <w:abstractNumId w:val="11"/>
  </w:num>
  <w:num w:numId="9">
    <w:abstractNumId w:val="4"/>
  </w:num>
  <w:num w:numId="10">
    <w:abstractNumId w:val="13"/>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A"/>
    <w:rsid w:val="00006499"/>
    <w:rsid w:val="00014BC0"/>
    <w:rsid w:val="0001635C"/>
    <w:rsid w:val="00033B08"/>
    <w:rsid w:val="00044689"/>
    <w:rsid w:val="00065161"/>
    <w:rsid w:val="000907A3"/>
    <w:rsid w:val="000A5460"/>
    <w:rsid w:val="000E2708"/>
    <w:rsid w:val="000E6CC3"/>
    <w:rsid w:val="000E7F24"/>
    <w:rsid w:val="00106233"/>
    <w:rsid w:val="00106362"/>
    <w:rsid w:val="001107E4"/>
    <w:rsid w:val="00114FB4"/>
    <w:rsid w:val="00117538"/>
    <w:rsid w:val="00141E67"/>
    <w:rsid w:val="0014489F"/>
    <w:rsid w:val="0015446F"/>
    <w:rsid w:val="00156FE0"/>
    <w:rsid w:val="00161B37"/>
    <w:rsid w:val="00181FF6"/>
    <w:rsid w:val="001A18E0"/>
    <w:rsid w:val="001A4BA2"/>
    <w:rsid w:val="001C04D2"/>
    <w:rsid w:val="001C746A"/>
    <w:rsid w:val="001D1B1E"/>
    <w:rsid w:val="001D7027"/>
    <w:rsid w:val="001F20AB"/>
    <w:rsid w:val="001F7224"/>
    <w:rsid w:val="001F77A0"/>
    <w:rsid w:val="002008D1"/>
    <w:rsid w:val="00203356"/>
    <w:rsid w:val="002049D2"/>
    <w:rsid w:val="0020531D"/>
    <w:rsid w:val="002078AD"/>
    <w:rsid w:val="00230BC2"/>
    <w:rsid w:val="002339EB"/>
    <w:rsid w:val="0025019B"/>
    <w:rsid w:val="00257150"/>
    <w:rsid w:val="00264CFE"/>
    <w:rsid w:val="00271BFB"/>
    <w:rsid w:val="00272864"/>
    <w:rsid w:val="002778C2"/>
    <w:rsid w:val="002857DD"/>
    <w:rsid w:val="0028739C"/>
    <w:rsid w:val="002A092F"/>
    <w:rsid w:val="002A309A"/>
    <w:rsid w:val="002A4596"/>
    <w:rsid w:val="002B38E0"/>
    <w:rsid w:val="002B3A89"/>
    <w:rsid w:val="002B7C6B"/>
    <w:rsid w:val="002C4CA2"/>
    <w:rsid w:val="002E7C76"/>
    <w:rsid w:val="002F02D0"/>
    <w:rsid w:val="002F1C67"/>
    <w:rsid w:val="003059CC"/>
    <w:rsid w:val="00306F2F"/>
    <w:rsid w:val="003105AE"/>
    <w:rsid w:val="0032000C"/>
    <w:rsid w:val="0033769C"/>
    <w:rsid w:val="00351B4D"/>
    <w:rsid w:val="003663D1"/>
    <w:rsid w:val="00367E8E"/>
    <w:rsid w:val="003700FC"/>
    <w:rsid w:val="00375A7E"/>
    <w:rsid w:val="00382AA4"/>
    <w:rsid w:val="003860B1"/>
    <w:rsid w:val="003910E3"/>
    <w:rsid w:val="00397AE0"/>
    <w:rsid w:val="003B6534"/>
    <w:rsid w:val="003C4C93"/>
    <w:rsid w:val="003D0C25"/>
    <w:rsid w:val="003D5CBD"/>
    <w:rsid w:val="003E32DF"/>
    <w:rsid w:val="003E462E"/>
    <w:rsid w:val="003E5C79"/>
    <w:rsid w:val="003F2973"/>
    <w:rsid w:val="00405B3A"/>
    <w:rsid w:val="004166BE"/>
    <w:rsid w:val="0042362F"/>
    <w:rsid w:val="00431329"/>
    <w:rsid w:val="0043242A"/>
    <w:rsid w:val="00453B9C"/>
    <w:rsid w:val="00461C41"/>
    <w:rsid w:val="00463D24"/>
    <w:rsid w:val="00463F38"/>
    <w:rsid w:val="0047190A"/>
    <w:rsid w:val="00472806"/>
    <w:rsid w:val="00475CCE"/>
    <w:rsid w:val="0048338C"/>
    <w:rsid w:val="0048388F"/>
    <w:rsid w:val="004972EA"/>
    <w:rsid w:val="004E1EC8"/>
    <w:rsid w:val="00501487"/>
    <w:rsid w:val="00505545"/>
    <w:rsid w:val="00506783"/>
    <w:rsid w:val="00510D33"/>
    <w:rsid w:val="00535A34"/>
    <w:rsid w:val="0053700A"/>
    <w:rsid w:val="00563C5F"/>
    <w:rsid w:val="00584D5F"/>
    <w:rsid w:val="00593A06"/>
    <w:rsid w:val="005C03D0"/>
    <w:rsid w:val="005C1324"/>
    <w:rsid w:val="005C751B"/>
    <w:rsid w:val="005D2D59"/>
    <w:rsid w:val="005E0B45"/>
    <w:rsid w:val="005E47C0"/>
    <w:rsid w:val="006043A7"/>
    <w:rsid w:val="00607A2E"/>
    <w:rsid w:val="00615CD7"/>
    <w:rsid w:val="0061633C"/>
    <w:rsid w:val="00617E9F"/>
    <w:rsid w:val="006275F8"/>
    <w:rsid w:val="00643E6B"/>
    <w:rsid w:val="0066655A"/>
    <w:rsid w:val="00672AAF"/>
    <w:rsid w:val="00681D25"/>
    <w:rsid w:val="0068608E"/>
    <w:rsid w:val="006929E7"/>
    <w:rsid w:val="00692A55"/>
    <w:rsid w:val="0069325E"/>
    <w:rsid w:val="006B5751"/>
    <w:rsid w:val="006C5043"/>
    <w:rsid w:val="006C76B5"/>
    <w:rsid w:val="006C7B21"/>
    <w:rsid w:val="006E0E43"/>
    <w:rsid w:val="006E556C"/>
    <w:rsid w:val="0070130A"/>
    <w:rsid w:val="00706186"/>
    <w:rsid w:val="00714488"/>
    <w:rsid w:val="00714D16"/>
    <w:rsid w:val="0071596C"/>
    <w:rsid w:val="00740397"/>
    <w:rsid w:val="007509A8"/>
    <w:rsid w:val="00757F49"/>
    <w:rsid w:val="00764911"/>
    <w:rsid w:val="0077145A"/>
    <w:rsid w:val="00797825"/>
    <w:rsid w:val="007A351A"/>
    <w:rsid w:val="007D36D5"/>
    <w:rsid w:val="007D3BA3"/>
    <w:rsid w:val="007E78F1"/>
    <w:rsid w:val="007F7050"/>
    <w:rsid w:val="007F7318"/>
    <w:rsid w:val="00807434"/>
    <w:rsid w:val="0081251C"/>
    <w:rsid w:val="008267CD"/>
    <w:rsid w:val="00834850"/>
    <w:rsid w:val="008438CF"/>
    <w:rsid w:val="00847BE2"/>
    <w:rsid w:val="00850F12"/>
    <w:rsid w:val="0085579A"/>
    <w:rsid w:val="00863FC8"/>
    <w:rsid w:val="008752D7"/>
    <w:rsid w:val="008851E8"/>
    <w:rsid w:val="00885505"/>
    <w:rsid w:val="00893521"/>
    <w:rsid w:val="008C32D2"/>
    <w:rsid w:val="008E5D87"/>
    <w:rsid w:val="008F5872"/>
    <w:rsid w:val="008F5ABA"/>
    <w:rsid w:val="008F7D88"/>
    <w:rsid w:val="00906BBA"/>
    <w:rsid w:val="00935B46"/>
    <w:rsid w:val="00937ACE"/>
    <w:rsid w:val="0094002D"/>
    <w:rsid w:val="00967227"/>
    <w:rsid w:val="00971D0B"/>
    <w:rsid w:val="00974234"/>
    <w:rsid w:val="009825BC"/>
    <w:rsid w:val="00991429"/>
    <w:rsid w:val="009B29ED"/>
    <w:rsid w:val="009C163D"/>
    <w:rsid w:val="009C384A"/>
    <w:rsid w:val="009D12DE"/>
    <w:rsid w:val="009D47CE"/>
    <w:rsid w:val="009D6CA5"/>
    <w:rsid w:val="009E07EF"/>
    <w:rsid w:val="009E7DCC"/>
    <w:rsid w:val="00A07DE1"/>
    <w:rsid w:val="00A11ED4"/>
    <w:rsid w:val="00A225A8"/>
    <w:rsid w:val="00A35B80"/>
    <w:rsid w:val="00A46FE7"/>
    <w:rsid w:val="00A54953"/>
    <w:rsid w:val="00A54B67"/>
    <w:rsid w:val="00A653EF"/>
    <w:rsid w:val="00A7119D"/>
    <w:rsid w:val="00A7362E"/>
    <w:rsid w:val="00A73733"/>
    <w:rsid w:val="00A74334"/>
    <w:rsid w:val="00A74C05"/>
    <w:rsid w:val="00AA01D8"/>
    <w:rsid w:val="00AA223D"/>
    <w:rsid w:val="00AB7213"/>
    <w:rsid w:val="00AD1233"/>
    <w:rsid w:val="00AD2C00"/>
    <w:rsid w:val="00AD2FF7"/>
    <w:rsid w:val="00AE57B4"/>
    <w:rsid w:val="00AF3BDA"/>
    <w:rsid w:val="00B01A42"/>
    <w:rsid w:val="00B10259"/>
    <w:rsid w:val="00B12243"/>
    <w:rsid w:val="00B15BCC"/>
    <w:rsid w:val="00B2231F"/>
    <w:rsid w:val="00B32564"/>
    <w:rsid w:val="00B35046"/>
    <w:rsid w:val="00B37AA5"/>
    <w:rsid w:val="00B37BF4"/>
    <w:rsid w:val="00B40E62"/>
    <w:rsid w:val="00B41939"/>
    <w:rsid w:val="00B576C8"/>
    <w:rsid w:val="00B65E24"/>
    <w:rsid w:val="00B67DCF"/>
    <w:rsid w:val="00B72269"/>
    <w:rsid w:val="00B730FA"/>
    <w:rsid w:val="00B732CA"/>
    <w:rsid w:val="00B82FA3"/>
    <w:rsid w:val="00B836B0"/>
    <w:rsid w:val="00B86890"/>
    <w:rsid w:val="00B9016B"/>
    <w:rsid w:val="00BA3B3A"/>
    <w:rsid w:val="00BA701B"/>
    <w:rsid w:val="00BB0BE6"/>
    <w:rsid w:val="00BB655A"/>
    <w:rsid w:val="00BB6D2C"/>
    <w:rsid w:val="00BE21AD"/>
    <w:rsid w:val="00BF1022"/>
    <w:rsid w:val="00BF1C3B"/>
    <w:rsid w:val="00BF2F3A"/>
    <w:rsid w:val="00BF60E7"/>
    <w:rsid w:val="00BF6103"/>
    <w:rsid w:val="00C009E6"/>
    <w:rsid w:val="00C05761"/>
    <w:rsid w:val="00C0787F"/>
    <w:rsid w:val="00C115FB"/>
    <w:rsid w:val="00C11C4B"/>
    <w:rsid w:val="00C161A9"/>
    <w:rsid w:val="00C3023C"/>
    <w:rsid w:val="00C310DF"/>
    <w:rsid w:val="00C44749"/>
    <w:rsid w:val="00C45FB1"/>
    <w:rsid w:val="00C618B8"/>
    <w:rsid w:val="00C70CFF"/>
    <w:rsid w:val="00C80AAA"/>
    <w:rsid w:val="00C84302"/>
    <w:rsid w:val="00C848C9"/>
    <w:rsid w:val="00CA383F"/>
    <w:rsid w:val="00CA4E8A"/>
    <w:rsid w:val="00CA5864"/>
    <w:rsid w:val="00CB6303"/>
    <w:rsid w:val="00CC4C8A"/>
    <w:rsid w:val="00CC70D1"/>
    <w:rsid w:val="00CE52FD"/>
    <w:rsid w:val="00D1169C"/>
    <w:rsid w:val="00D23488"/>
    <w:rsid w:val="00D36C76"/>
    <w:rsid w:val="00D46B39"/>
    <w:rsid w:val="00D61FDA"/>
    <w:rsid w:val="00D62C91"/>
    <w:rsid w:val="00D64882"/>
    <w:rsid w:val="00D66688"/>
    <w:rsid w:val="00D70A00"/>
    <w:rsid w:val="00D7446A"/>
    <w:rsid w:val="00D74B53"/>
    <w:rsid w:val="00D848D1"/>
    <w:rsid w:val="00D87049"/>
    <w:rsid w:val="00D97807"/>
    <w:rsid w:val="00DA15EF"/>
    <w:rsid w:val="00DA2219"/>
    <w:rsid w:val="00DA4230"/>
    <w:rsid w:val="00DB396E"/>
    <w:rsid w:val="00DC1C97"/>
    <w:rsid w:val="00DC4AF2"/>
    <w:rsid w:val="00DD552A"/>
    <w:rsid w:val="00DE585A"/>
    <w:rsid w:val="00DE6DBB"/>
    <w:rsid w:val="00E0361B"/>
    <w:rsid w:val="00E06F81"/>
    <w:rsid w:val="00E11BFE"/>
    <w:rsid w:val="00E20044"/>
    <w:rsid w:val="00E233DB"/>
    <w:rsid w:val="00E23524"/>
    <w:rsid w:val="00E25996"/>
    <w:rsid w:val="00E325A1"/>
    <w:rsid w:val="00E330C1"/>
    <w:rsid w:val="00E467D7"/>
    <w:rsid w:val="00E46C70"/>
    <w:rsid w:val="00E52A0E"/>
    <w:rsid w:val="00E55ACA"/>
    <w:rsid w:val="00E62F4D"/>
    <w:rsid w:val="00E6735D"/>
    <w:rsid w:val="00E7026E"/>
    <w:rsid w:val="00E754B7"/>
    <w:rsid w:val="00E772D4"/>
    <w:rsid w:val="00E808AB"/>
    <w:rsid w:val="00E864BD"/>
    <w:rsid w:val="00EA0AB1"/>
    <w:rsid w:val="00EC35AA"/>
    <w:rsid w:val="00ED07E0"/>
    <w:rsid w:val="00ED50CB"/>
    <w:rsid w:val="00ED55C9"/>
    <w:rsid w:val="00EE45F4"/>
    <w:rsid w:val="00EF0840"/>
    <w:rsid w:val="00EF4D23"/>
    <w:rsid w:val="00EF606B"/>
    <w:rsid w:val="00EF60F8"/>
    <w:rsid w:val="00F060D1"/>
    <w:rsid w:val="00F24A2D"/>
    <w:rsid w:val="00F25248"/>
    <w:rsid w:val="00F30EB9"/>
    <w:rsid w:val="00F337CC"/>
    <w:rsid w:val="00F3573A"/>
    <w:rsid w:val="00F367D0"/>
    <w:rsid w:val="00F702B4"/>
    <w:rsid w:val="00F7262C"/>
    <w:rsid w:val="00F84948"/>
    <w:rsid w:val="00F90D87"/>
    <w:rsid w:val="00F92F68"/>
    <w:rsid w:val="00F96F72"/>
    <w:rsid w:val="00FA23EA"/>
    <w:rsid w:val="00FA42E0"/>
    <w:rsid w:val="00FA5BCE"/>
    <w:rsid w:val="00FA762E"/>
    <w:rsid w:val="00FB29CC"/>
    <w:rsid w:val="00FC549F"/>
    <w:rsid w:val="00FC7548"/>
    <w:rsid w:val="00FD1760"/>
    <w:rsid w:val="00FD5633"/>
    <w:rsid w:val="00FE0F06"/>
    <w:rsid w:val="00FE278E"/>
    <w:rsid w:val="00FE4B0B"/>
    <w:rsid w:val="00FE64D2"/>
    <w:rsid w:val="00FE7F7E"/>
    <w:rsid w:val="00FF6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497CCF5-BF91-44CA-949A-84D864F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F"/>
    <w:pPr>
      <w:suppressAutoHyphens/>
      <w:spacing w:after="200" w:line="276" w:lineRule="auto"/>
    </w:pPr>
    <w:rPr>
      <w:rFonts w:ascii="Calibri" w:eastAsia="Calibri" w:hAnsi="Calibri" w:cs="Calibri"/>
      <w:sz w:val="22"/>
      <w:szCs w:val="22"/>
      <w:lang w:eastAsia="zh-CN"/>
    </w:rPr>
  </w:style>
  <w:style w:type="paragraph" w:styleId="Ttulo1">
    <w:name w:val="heading 1"/>
    <w:basedOn w:val="Normal"/>
    <w:next w:val="Normal"/>
    <w:link w:val="Ttulo1Char"/>
    <w:qFormat/>
    <w:rsid w:val="001F20AB"/>
    <w:pPr>
      <w:keepNext/>
      <w:suppressAutoHyphens w:val="0"/>
      <w:spacing w:before="240" w:after="60"/>
      <w:outlineLvl w:val="0"/>
    </w:pPr>
    <w:rPr>
      <w:rFonts w:ascii="Arial" w:hAnsi="Arial" w:cs="Arial"/>
      <w:b/>
      <w:bCs/>
      <w:kern w:val="32"/>
      <w:sz w:val="32"/>
      <w:szCs w:val="32"/>
      <w:lang w:eastAsia="en-US"/>
    </w:rPr>
  </w:style>
  <w:style w:type="paragraph" w:styleId="Ttulo2">
    <w:name w:val="heading 2"/>
    <w:basedOn w:val="Normal"/>
    <w:next w:val="Normal"/>
    <w:qFormat/>
    <w:rsid w:val="0015446F"/>
    <w:pPr>
      <w:keepNext/>
      <w:numPr>
        <w:ilvl w:val="1"/>
        <w:numId w:val="1"/>
      </w:numPr>
      <w:spacing w:before="240" w:after="60"/>
      <w:outlineLvl w:val="1"/>
    </w:pPr>
    <w:rPr>
      <w:rFonts w:ascii="Cambria" w:eastAsia="Times New Roman" w:hAnsi="Cambria" w:cs="Times New Roman"/>
      <w:b/>
      <w:bCs/>
      <w:i/>
      <w:iCs/>
      <w:sz w:val="28"/>
      <w:szCs w:val="28"/>
    </w:rPr>
  </w:style>
  <w:style w:type="paragraph" w:styleId="Ttulo3">
    <w:name w:val="heading 3"/>
    <w:aliases w:val="Título 3 - Dani"/>
    <w:basedOn w:val="Normal"/>
    <w:next w:val="Normal"/>
    <w:qFormat/>
    <w:rsid w:val="0015446F"/>
    <w:pPr>
      <w:keepNext/>
      <w:numPr>
        <w:ilvl w:val="2"/>
        <w:numId w:val="1"/>
      </w:numPr>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autoRedefine/>
    <w:unhideWhenUsed/>
    <w:qFormat/>
    <w:rsid w:val="0085579A"/>
    <w:pPr>
      <w:keepNext/>
      <w:keepLines/>
      <w:suppressAutoHyphens w:val="0"/>
      <w:spacing w:after="0" w:line="360" w:lineRule="auto"/>
      <w:ind w:left="907" w:hanging="907"/>
      <w:jc w:val="both"/>
      <w:outlineLvl w:val="3"/>
    </w:pPr>
    <w:rPr>
      <w:rFonts w:ascii="Arial" w:hAnsi="Arial" w:cs="Times New Roman"/>
      <w:bCs/>
      <w:iCs/>
      <w:lang w:eastAsia="en-US"/>
    </w:rPr>
  </w:style>
  <w:style w:type="paragraph" w:styleId="Ttulo5">
    <w:name w:val="heading 5"/>
    <w:basedOn w:val="Normal"/>
    <w:next w:val="Normal"/>
    <w:qFormat/>
    <w:rsid w:val="0015446F"/>
    <w:pPr>
      <w:numPr>
        <w:ilvl w:val="4"/>
        <w:numId w:val="1"/>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nhideWhenUsed/>
    <w:qFormat/>
    <w:rsid w:val="0085579A"/>
    <w:pPr>
      <w:keepNext/>
      <w:keepLines/>
      <w:suppressAutoHyphens w:val="0"/>
      <w:spacing w:before="200" w:after="0" w:line="360" w:lineRule="auto"/>
      <w:ind w:left="1152" w:hanging="1152"/>
      <w:jc w:val="both"/>
      <w:outlineLvl w:val="5"/>
    </w:pPr>
    <w:rPr>
      <w:rFonts w:ascii="Cambria" w:eastAsia="Times New Roman" w:hAnsi="Cambria" w:cs="Times New Roman"/>
      <w:i/>
      <w:iCs/>
      <w:color w:val="243F60"/>
      <w:lang w:eastAsia="en-US"/>
    </w:rPr>
  </w:style>
  <w:style w:type="paragraph" w:styleId="Ttulo7">
    <w:name w:val="heading 7"/>
    <w:basedOn w:val="Normal"/>
    <w:next w:val="Normal"/>
    <w:qFormat/>
    <w:rsid w:val="0015446F"/>
    <w:pPr>
      <w:numPr>
        <w:ilvl w:val="6"/>
        <w:numId w:val="1"/>
      </w:numPr>
      <w:spacing w:before="240" w:after="60"/>
      <w:outlineLvl w:val="6"/>
    </w:pPr>
    <w:rPr>
      <w:rFonts w:eastAsia="Times New Roman" w:cs="Times New Roman"/>
    </w:rPr>
  </w:style>
  <w:style w:type="paragraph" w:styleId="Ttulo8">
    <w:name w:val="heading 8"/>
    <w:basedOn w:val="Normal"/>
    <w:next w:val="Normal"/>
    <w:qFormat/>
    <w:rsid w:val="0015446F"/>
    <w:pPr>
      <w:keepNext/>
      <w:numPr>
        <w:ilvl w:val="7"/>
        <w:numId w:val="1"/>
      </w:numPr>
      <w:ind w:left="2832" w:firstLine="0"/>
      <w:jc w:val="both"/>
      <w:outlineLvl w:val="7"/>
    </w:pPr>
    <w:rPr>
      <w:b/>
    </w:rPr>
  </w:style>
  <w:style w:type="paragraph" w:styleId="Ttulo9">
    <w:name w:val="heading 9"/>
    <w:aliases w:val="Diarios"/>
    <w:basedOn w:val="Normal"/>
    <w:next w:val="Normal"/>
    <w:link w:val="Ttulo9Char"/>
    <w:unhideWhenUsed/>
    <w:qFormat/>
    <w:rsid w:val="0085579A"/>
    <w:pPr>
      <w:keepNext/>
      <w:keepLines/>
      <w:suppressAutoHyphens w:val="0"/>
      <w:spacing w:before="200" w:after="0" w:line="360" w:lineRule="auto"/>
      <w:ind w:left="1584" w:hanging="1584"/>
      <w:jc w:val="both"/>
      <w:outlineLvl w:val="8"/>
    </w:pPr>
    <w:rPr>
      <w:rFonts w:ascii="Cambria" w:eastAsia="Times New Roman" w:hAnsi="Cambria" w:cs="Times New Roman"/>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15446F"/>
  </w:style>
  <w:style w:type="character" w:customStyle="1" w:styleId="WW-Absatz-Standardschriftart">
    <w:name w:val="WW-Absatz-Standardschriftart"/>
    <w:rsid w:val="0015446F"/>
  </w:style>
  <w:style w:type="character" w:customStyle="1" w:styleId="WW-Absatz-Standardschriftart1">
    <w:name w:val="WW-Absatz-Standardschriftart1"/>
    <w:rsid w:val="0015446F"/>
  </w:style>
  <w:style w:type="character" w:customStyle="1" w:styleId="WW-Absatz-Standardschriftart11">
    <w:name w:val="WW-Absatz-Standardschriftart11"/>
    <w:rsid w:val="0015446F"/>
  </w:style>
  <w:style w:type="character" w:customStyle="1" w:styleId="WW-Absatz-Standardschriftart111">
    <w:name w:val="WW-Absatz-Standardschriftart111"/>
    <w:rsid w:val="0015446F"/>
  </w:style>
  <w:style w:type="character" w:customStyle="1" w:styleId="WW-Absatz-Standardschriftart1111">
    <w:name w:val="WW-Absatz-Standardschriftart1111"/>
    <w:rsid w:val="0015446F"/>
  </w:style>
  <w:style w:type="character" w:customStyle="1" w:styleId="WW-Absatz-Standardschriftart11111">
    <w:name w:val="WW-Absatz-Standardschriftart11111"/>
    <w:rsid w:val="0015446F"/>
  </w:style>
  <w:style w:type="character" w:customStyle="1" w:styleId="WW-Absatz-Standardschriftart111111">
    <w:name w:val="WW-Absatz-Standardschriftart111111"/>
    <w:rsid w:val="0015446F"/>
  </w:style>
  <w:style w:type="character" w:customStyle="1" w:styleId="WW-Absatz-Standardschriftart1111111">
    <w:name w:val="WW-Absatz-Standardschriftart1111111"/>
    <w:rsid w:val="0015446F"/>
  </w:style>
  <w:style w:type="character" w:customStyle="1" w:styleId="WW-Absatz-Standardschriftart11111111">
    <w:name w:val="WW-Absatz-Standardschriftart11111111"/>
    <w:rsid w:val="0015446F"/>
  </w:style>
  <w:style w:type="character" w:customStyle="1" w:styleId="WW-Absatz-Standardschriftart111111111">
    <w:name w:val="WW-Absatz-Standardschriftart111111111"/>
    <w:rsid w:val="0015446F"/>
  </w:style>
  <w:style w:type="character" w:customStyle="1" w:styleId="WW-Absatz-Standardschriftart1111111111">
    <w:name w:val="WW-Absatz-Standardschriftart1111111111"/>
    <w:rsid w:val="0015446F"/>
  </w:style>
  <w:style w:type="character" w:customStyle="1" w:styleId="WW-Absatz-Standardschriftart11111111111">
    <w:name w:val="WW-Absatz-Standardschriftart11111111111"/>
    <w:rsid w:val="0015446F"/>
  </w:style>
  <w:style w:type="character" w:customStyle="1" w:styleId="Fontepargpadro7">
    <w:name w:val="Fonte parág. padrão7"/>
    <w:rsid w:val="0015446F"/>
  </w:style>
  <w:style w:type="character" w:customStyle="1" w:styleId="WW-Absatz-Standardschriftart111111111111">
    <w:name w:val="WW-Absatz-Standardschriftart111111111111"/>
    <w:rsid w:val="0015446F"/>
  </w:style>
  <w:style w:type="character" w:customStyle="1" w:styleId="WW-Absatz-Standardschriftart1111111111111">
    <w:name w:val="WW-Absatz-Standardschriftart1111111111111"/>
    <w:rsid w:val="0015446F"/>
  </w:style>
  <w:style w:type="character" w:customStyle="1" w:styleId="WW-Absatz-Standardschriftart11111111111111">
    <w:name w:val="WW-Absatz-Standardschriftart11111111111111"/>
    <w:rsid w:val="0015446F"/>
  </w:style>
  <w:style w:type="character" w:customStyle="1" w:styleId="WW-Absatz-Standardschriftart111111111111111">
    <w:name w:val="WW-Absatz-Standardschriftart111111111111111"/>
    <w:rsid w:val="0015446F"/>
  </w:style>
  <w:style w:type="character" w:customStyle="1" w:styleId="WW-Absatz-Standardschriftart1111111111111111">
    <w:name w:val="WW-Absatz-Standardschriftart1111111111111111"/>
    <w:rsid w:val="0015446F"/>
  </w:style>
  <w:style w:type="character" w:customStyle="1" w:styleId="WW-Absatz-Standardschriftart11111111111111111">
    <w:name w:val="WW-Absatz-Standardschriftart11111111111111111"/>
    <w:rsid w:val="0015446F"/>
  </w:style>
  <w:style w:type="character" w:customStyle="1" w:styleId="WW-Absatz-Standardschriftart111111111111111111">
    <w:name w:val="WW-Absatz-Standardschriftart111111111111111111"/>
    <w:rsid w:val="0015446F"/>
  </w:style>
  <w:style w:type="character" w:customStyle="1" w:styleId="WW-Absatz-Standardschriftart1111111111111111111">
    <w:name w:val="WW-Absatz-Standardschriftart1111111111111111111"/>
    <w:rsid w:val="0015446F"/>
  </w:style>
  <w:style w:type="character" w:customStyle="1" w:styleId="WW-Absatz-Standardschriftart11111111111111111111">
    <w:name w:val="WW-Absatz-Standardschriftart11111111111111111111"/>
    <w:rsid w:val="0015446F"/>
  </w:style>
  <w:style w:type="character" w:customStyle="1" w:styleId="WW-Absatz-Standardschriftart111111111111111111111">
    <w:name w:val="WW-Absatz-Standardschriftart111111111111111111111"/>
    <w:rsid w:val="0015446F"/>
  </w:style>
  <w:style w:type="character" w:customStyle="1" w:styleId="WW-Absatz-Standardschriftart1111111111111111111111">
    <w:name w:val="WW-Absatz-Standardschriftart1111111111111111111111"/>
    <w:rsid w:val="0015446F"/>
  </w:style>
  <w:style w:type="character" w:customStyle="1" w:styleId="Fontepargpadro6">
    <w:name w:val="Fonte parág. padrão6"/>
    <w:rsid w:val="0015446F"/>
  </w:style>
  <w:style w:type="character" w:customStyle="1" w:styleId="WW-Absatz-Standardschriftart11111111111111111111111">
    <w:name w:val="WW-Absatz-Standardschriftart11111111111111111111111"/>
    <w:rsid w:val="0015446F"/>
  </w:style>
  <w:style w:type="character" w:customStyle="1" w:styleId="WW-Absatz-Standardschriftart111111111111111111111111">
    <w:name w:val="WW-Absatz-Standardschriftart111111111111111111111111"/>
    <w:rsid w:val="0015446F"/>
  </w:style>
  <w:style w:type="character" w:customStyle="1" w:styleId="WW-Absatz-Standardschriftart1111111111111111111111111">
    <w:name w:val="WW-Absatz-Standardschriftart1111111111111111111111111"/>
    <w:rsid w:val="0015446F"/>
  </w:style>
  <w:style w:type="character" w:customStyle="1" w:styleId="WW-Absatz-Standardschriftart11111111111111111111111111">
    <w:name w:val="WW-Absatz-Standardschriftart11111111111111111111111111"/>
    <w:rsid w:val="0015446F"/>
  </w:style>
  <w:style w:type="character" w:customStyle="1" w:styleId="WW-Absatz-Standardschriftart111111111111111111111111111">
    <w:name w:val="WW-Absatz-Standardschriftart111111111111111111111111111"/>
    <w:rsid w:val="0015446F"/>
  </w:style>
  <w:style w:type="character" w:customStyle="1" w:styleId="WW-Absatz-Standardschriftart1111111111111111111111111111">
    <w:name w:val="WW-Absatz-Standardschriftart1111111111111111111111111111"/>
    <w:rsid w:val="0015446F"/>
  </w:style>
  <w:style w:type="character" w:customStyle="1" w:styleId="WW-Absatz-Standardschriftart11111111111111111111111111111">
    <w:name w:val="WW-Absatz-Standardschriftart11111111111111111111111111111"/>
    <w:rsid w:val="0015446F"/>
  </w:style>
  <w:style w:type="character" w:customStyle="1" w:styleId="WW-Absatz-Standardschriftart111111111111111111111111111111">
    <w:name w:val="WW-Absatz-Standardschriftart111111111111111111111111111111"/>
    <w:rsid w:val="0015446F"/>
  </w:style>
  <w:style w:type="character" w:customStyle="1" w:styleId="WW-Absatz-Standardschriftart1111111111111111111111111111111">
    <w:name w:val="WW-Absatz-Standardschriftart1111111111111111111111111111111"/>
    <w:rsid w:val="0015446F"/>
  </w:style>
  <w:style w:type="character" w:customStyle="1" w:styleId="WW-Absatz-Standardschriftart11111111111111111111111111111111">
    <w:name w:val="WW-Absatz-Standardschriftart11111111111111111111111111111111"/>
    <w:rsid w:val="0015446F"/>
  </w:style>
  <w:style w:type="character" w:customStyle="1" w:styleId="WW-Absatz-Standardschriftart111111111111111111111111111111111">
    <w:name w:val="WW-Absatz-Standardschriftart111111111111111111111111111111111"/>
    <w:rsid w:val="0015446F"/>
  </w:style>
  <w:style w:type="character" w:customStyle="1" w:styleId="WW-Absatz-Standardschriftart1111111111111111111111111111111111">
    <w:name w:val="WW-Absatz-Standardschriftart1111111111111111111111111111111111"/>
    <w:rsid w:val="0015446F"/>
  </w:style>
  <w:style w:type="character" w:customStyle="1" w:styleId="WW-Absatz-Standardschriftart11111111111111111111111111111111111">
    <w:name w:val="WW-Absatz-Standardschriftart11111111111111111111111111111111111"/>
    <w:rsid w:val="0015446F"/>
  </w:style>
  <w:style w:type="character" w:customStyle="1" w:styleId="WW-Absatz-Standardschriftart111111111111111111111111111111111111">
    <w:name w:val="WW-Absatz-Standardschriftart111111111111111111111111111111111111"/>
    <w:rsid w:val="0015446F"/>
  </w:style>
  <w:style w:type="character" w:customStyle="1" w:styleId="WW-Absatz-Standardschriftart1111111111111111111111111111111111111">
    <w:name w:val="WW-Absatz-Standardschriftart1111111111111111111111111111111111111"/>
    <w:rsid w:val="0015446F"/>
  </w:style>
  <w:style w:type="character" w:customStyle="1" w:styleId="WW-Absatz-Standardschriftart11111111111111111111111111111111111111">
    <w:name w:val="WW-Absatz-Standardschriftart11111111111111111111111111111111111111"/>
    <w:rsid w:val="0015446F"/>
  </w:style>
  <w:style w:type="character" w:customStyle="1" w:styleId="WW-Absatz-Standardschriftart111111111111111111111111111111111111111">
    <w:name w:val="WW-Absatz-Standardschriftart111111111111111111111111111111111111111"/>
    <w:rsid w:val="0015446F"/>
  </w:style>
  <w:style w:type="character" w:customStyle="1" w:styleId="Fontepargpadro5">
    <w:name w:val="Fonte parág. padrão5"/>
    <w:rsid w:val="0015446F"/>
  </w:style>
  <w:style w:type="character" w:customStyle="1" w:styleId="WW-Absatz-Standardschriftart1111111111111111111111111111111111111111">
    <w:name w:val="WW-Absatz-Standardschriftart1111111111111111111111111111111111111111"/>
    <w:rsid w:val="0015446F"/>
  </w:style>
  <w:style w:type="character" w:customStyle="1" w:styleId="WW-Absatz-Standardschriftart11111111111111111111111111111111111111111">
    <w:name w:val="WW-Absatz-Standardschriftart11111111111111111111111111111111111111111"/>
    <w:rsid w:val="0015446F"/>
  </w:style>
  <w:style w:type="character" w:customStyle="1" w:styleId="WW-Absatz-Standardschriftart111111111111111111111111111111111111111111">
    <w:name w:val="WW-Absatz-Standardschriftart111111111111111111111111111111111111111111"/>
    <w:rsid w:val="0015446F"/>
  </w:style>
  <w:style w:type="character" w:customStyle="1" w:styleId="WW-Absatz-Standardschriftart1111111111111111111111111111111111111111111">
    <w:name w:val="WW-Absatz-Standardschriftart1111111111111111111111111111111111111111111"/>
    <w:rsid w:val="0015446F"/>
  </w:style>
  <w:style w:type="character" w:customStyle="1" w:styleId="WW-Absatz-Standardschriftart11111111111111111111111111111111111111111111">
    <w:name w:val="WW-Absatz-Standardschriftart11111111111111111111111111111111111111111111"/>
    <w:rsid w:val="0015446F"/>
  </w:style>
  <w:style w:type="character" w:customStyle="1" w:styleId="Fontepargpadro4">
    <w:name w:val="Fonte parág. padrão4"/>
    <w:rsid w:val="0015446F"/>
  </w:style>
  <w:style w:type="character" w:customStyle="1" w:styleId="WW-Absatz-Standardschriftart111111111111111111111111111111111111111111111">
    <w:name w:val="WW-Absatz-Standardschriftart111111111111111111111111111111111111111111111"/>
    <w:rsid w:val="0015446F"/>
  </w:style>
  <w:style w:type="character" w:customStyle="1" w:styleId="WW-Absatz-Standardschriftart1111111111111111111111111111111111111111111111">
    <w:name w:val="WW-Absatz-Standardschriftart1111111111111111111111111111111111111111111111"/>
    <w:rsid w:val="0015446F"/>
  </w:style>
  <w:style w:type="character" w:customStyle="1" w:styleId="WW-Absatz-Standardschriftart11111111111111111111111111111111111111111111111">
    <w:name w:val="WW-Absatz-Standardschriftart11111111111111111111111111111111111111111111111"/>
    <w:rsid w:val="0015446F"/>
  </w:style>
  <w:style w:type="character" w:customStyle="1" w:styleId="WW-Absatz-Standardschriftart111111111111111111111111111111111111111111111111">
    <w:name w:val="WW-Absatz-Standardschriftart111111111111111111111111111111111111111111111111"/>
    <w:rsid w:val="0015446F"/>
  </w:style>
  <w:style w:type="character" w:customStyle="1" w:styleId="WW-Absatz-Standardschriftart1111111111111111111111111111111111111111111111111">
    <w:name w:val="WW-Absatz-Standardschriftart1111111111111111111111111111111111111111111111111"/>
    <w:rsid w:val="0015446F"/>
  </w:style>
  <w:style w:type="character" w:customStyle="1" w:styleId="WW8Num1z0">
    <w:name w:val="WW8Num1z0"/>
    <w:rsid w:val="0015446F"/>
    <w:rPr>
      <w:rFonts w:ascii="Symbol" w:hAnsi="Symbol" w:cs="OpenSymbol"/>
    </w:rPr>
  </w:style>
  <w:style w:type="character" w:customStyle="1" w:styleId="WW8Num1z1">
    <w:name w:val="WW8Num1z1"/>
    <w:rsid w:val="0015446F"/>
    <w:rPr>
      <w:rFonts w:ascii="OpenSymbol" w:hAnsi="OpenSymbol" w:cs="OpenSymbol"/>
    </w:rPr>
  </w:style>
  <w:style w:type="character" w:customStyle="1" w:styleId="WW-Absatz-Standardschriftart11111111111111111111111111111111111111111111111111">
    <w:name w:val="WW-Absatz-Standardschriftart11111111111111111111111111111111111111111111111111"/>
    <w:rsid w:val="0015446F"/>
  </w:style>
  <w:style w:type="character" w:customStyle="1" w:styleId="WW8Num3z0">
    <w:name w:val="WW8Num3z0"/>
    <w:rsid w:val="0015446F"/>
    <w:rPr>
      <w:rFonts w:ascii="Symbol" w:hAnsi="Symbol" w:cs="OpenSymbol"/>
    </w:rPr>
  </w:style>
  <w:style w:type="character" w:customStyle="1" w:styleId="WW8Num3z1">
    <w:name w:val="WW8Num3z1"/>
    <w:rsid w:val="0015446F"/>
    <w:rPr>
      <w:rFonts w:ascii="OpenSymbol" w:hAnsi="OpenSymbol" w:cs="OpenSymbol"/>
    </w:rPr>
  </w:style>
  <w:style w:type="character" w:customStyle="1" w:styleId="WW-Absatz-Standardschriftart111111111111111111111111111111111111111111111111111">
    <w:name w:val="WW-Absatz-Standardschriftart111111111111111111111111111111111111111111111111111"/>
    <w:rsid w:val="0015446F"/>
  </w:style>
  <w:style w:type="character" w:customStyle="1" w:styleId="WW-Absatz-Standardschriftart1111111111111111111111111111111111111111111111111111">
    <w:name w:val="WW-Absatz-Standardschriftart1111111111111111111111111111111111111111111111111111"/>
    <w:rsid w:val="0015446F"/>
  </w:style>
  <w:style w:type="character" w:customStyle="1" w:styleId="WW-Absatz-Standardschriftart11111111111111111111111111111111111111111111111111111">
    <w:name w:val="WW-Absatz-Standardschriftart11111111111111111111111111111111111111111111111111111"/>
    <w:rsid w:val="0015446F"/>
  </w:style>
  <w:style w:type="character" w:customStyle="1" w:styleId="WW-Absatz-Standardschriftart111111111111111111111111111111111111111111111111111111">
    <w:name w:val="WW-Absatz-Standardschriftart111111111111111111111111111111111111111111111111111111"/>
    <w:rsid w:val="0015446F"/>
  </w:style>
  <w:style w:type="character" w:customStyle="1" w:styleId="WW-Absatz-Standardschriftart1111111111111111111111111111111111111111111111111111111">
    <w:name w:val="WW-Absatz-Standardschriftart1111111111111111111111111111111111111111111111111111111"/>
    <w:rsid w:val="0015446F"/>
  </w:style>
  <w:style w:type="character" w:customStyle="1" w:styleId="WW-Absatz-Standardschriftart11111111111111111111111111111111111111111111111111111111">
    <w:name w:val="WW-Absatz-Standardschriftart11111111111111111111111111111111111111111111111111111111"/>
    <w:rsid w:val="0015446F"/>
  </w:style>
  <w:style w:type="character" w:customStyle="1" w:styleId="WW-Absatz-Standardschriftart111111111111111111111111111111111111111111111111111111111">
    <w:name w:val="WW-Absatz-Standardschriftart111111111111111111111111111111111111111111111111111111111"/>
    <w:rsid w:val="0015446F"/>
  </w:style>
  <w:style w:type="character" w:customStyle="1" w:styleId="Fontepargpadro3">
    <w:name w:val="Fonte parág. padrão3"/>
    <w:rsid w:val="0015446F"/>
  </w:style>
  <w:style w:type="character" w:customStyle="1" w:styleId="Fontepargpadro2">
    <w:name w:val="Fonte parág. padrão2"/>
    <w:rsid w:val="0015446F"/>
  </w:style>
  <w:style w:type="character" w:customStyle="1" w:styleId="Fontepargpadro1">
    <w:name w:val="Fonte parág. padrão1"/>
    <w:rsid w:val="0015446F"/>
  </w:style>
  <w:style w:type="character" w:customStyle="1" w:styleId="CabealhoChar">
    <w:name w:val="Cabeçalho Char"/>
    <w:basedOn w:val="Fontepargpadro1"/>
    <w:rsid w:val="0015446F"/>
  </w:style>
  <w:style w:type="character" w:customStyle="1" w:styleId="RodapChar">
    <w:name w:val="Rodapé Char"/>
    <w:basedOn w:val="Fontepargpadro1"/>
    <w:uiPriority w:val="99"/>
    <w:rsid w:val="0015446F"/>
  </w:style>
  <w:style w:type="character" w:customStyle="1" w:styleId="TextodebaloChar">
    <w:name w:val="Texto de balão Char"/>
    <w:rsid w:val="0015446F"/>
    <w:rPr>
      <w:rFonts w:ascii="Tahoma" w:hAnsi="Tahoma" w:cs="Tahoma"/>
      <w:sz w:val="16"/>
      <w:szCs w:val="16"/>
    </w:rPr>
  </w:style>
  <w:style w:type="character" w:styleId="Hyperlink">
    <w:name w:val="Hyperlink"/>
    <w:rsid w:val="0015446F"/>
    <w:rPr>
      <w:color w:val="0000FF"/>
      <w:u w:val="single"/>
    </w:rPr>
  </w:style>
  <w:style w:type="character" w:styleId="TextodoEspaoReservado">
    <w:name w:val="Placeholder Text"/>
    <w:rsid w:val="0015446F"/>
    <w:rPr>
      <w:color w:val="808080"/>
    </w:rPr>
  </w:style>
  <w:style w:type="character" w:customStyle="1" w:styleId="Marcas">
    <w:name w:val="Marcas"/>
    <w:rsid w:val="0015446F"/>
    <w:rPr>
      <w:rFonts w:ascii="OpenSymbol" w:eastAsia="OpenSymbol" w:hAnsi="OpenSymbol" w:cs="OpenSymbol"/>
    </w:rPr>
  </w:style>
  <w:style w:type="character" w:customStyle="1" w:styleId="Ttulo2Char">
    <w:name w:val="Título 2 Char"/>
    <w:rsid w:val="0015446F"/>
    <w:rPr>
      <w:rFonts w:ascii="Cambria" w:hAnsi="Cambria" w:cs="Cambria"/>
      <w:b/>
      <w:bCs/>
      <w:i/>
      <w:iCs/>
      <w:sz w:val="28"/>
      <w:szCs w:val="28"/>
    </w:rPr>
  </w:style>
  <w:style w:type="character" w:customStyle="1" w:styleId="Ttulo3Char">
    <w:name w:val="Título 3 Char"/>
    <w:rsid w:val="0015446F"/>
    <w:rPr>
      <w:rFonts w:ascii="Cambria" w:hAnsi="Cambria" w:cs="Cambria"/>
      <w:b/>
      <w:bCs/>
      <w:sz w:val="26"/>
      <w:szCs w:val="26"/>
    </w:rPr>
  </w:style>
  <w:style w:type="character" w:customStyle="1" w:styleId="Ttulo5Char">
    <w:name w:val="Título 5 Char"/>
    <w:rsid w:val="0015446F"/>
    <w:rPr>
      <w:rFonts w:ascii="Calibri" w:hAnsi="Calibri" w:cs="Calibri"/>
      <w:b/>
      <w:bCs/>
      <w:i/>
      <w:iCs/>
      <w:sz w:val="26"/>
      <w:szCs w:val="26"/>
    </w:rPr>
  </w:style>
  <w:style w:type="character" w:customStyle="1" w:styleId="Ttulo7Char">
    <w:name w:val="Título 7 Char"/>
    <w:rsid w:val="0015446F"/>
    <w:rPr>
      <w:rFonts w:ascii="Calibri" w:hAnsi="Calibri" w:cs="Calibri"/>
      <w:sz w:val="22"/>
      <w:szCs w:val="22"/>
    </w:rPr>
  </w:style>
  <w:style w:type="character" w:customStyle="1" w:styleId="Smbolosdenumerao">
    <w:name w:val="Símbolos de numeração"/>
    <w:rsid w:val="0015446F"/>
  </w:style>
  <w:style w:type="paragraph" w:customStyle="1" w:styleId="Ttulo70">
    <w:name w:val="Título7"/>
    <w:basedOn w:val="Normal"/>
    <w:next w:val="Corpodetexto"/>
    <w:rsid w:val="0015446F"/>
    <w:pPr>
      <w:keepNext/>
      <w:spacing w:before="240" w:after="120"/>
    </w:pPr>
    <w:rPr>
      <w:rFonts w:ascii="Arial" w:eastAsia="Bitstream Vera Sans" w:hAnsi="Arial" w:cs="Bitstream Vera Sans"/>
      <w:sz w:val="28"/>
      <w:szCs w:val="28"/>
    </w:rPr>
  </w:style>
  <w:style w:type="paragraph" w:styleId="Corpodetexto">
    <w:name w:val="Body Text"/>
    <w:basedOn w:val="Normal"/>
    <w:link w:val="CorpodetextoChar"/>
    <w:rsid w:val="0015446F"/>
    <w:pPr>
      <w:spacing w:after="120"/>
    </w:pPr>
  </w:style>
  <w:style w:type="paragraph" w:styleId="Lista">
    <w:name w:val="List"/>
    <w:basedOn w:val="Corpodetexto"/>
    <w:rsid w:val="0015446F"/>
  </w:style>
  <w:style w:type="paragraph" w:styleId="Legenda">
    <w:name w:val="caption"/>
    <w:basedOn w:val="Normal"/>
    <w:qFormat/>
    <w:rsid w:val="0015446F"/>
    <w:pPr>
      <w:suppressLineNumbers/>
      <w:spacing w:before="120" w:after="120"/>
    </w:pPr>
    <w:rPr>
      <w:i/>
      <w:iCs/>
      <w:sz w:val="24"/>
      <w:szCs w:val="24"/>
    </w:rPr>
  </w:style>
  <w:style w:type="paragraph" w:customStyle="1" w:styleId="ndice">
    <w:name w:val="Índice"/>
    <w:basedOn w:val="Normal"/>
    <w:rsid w:val="0015446F"/>
    <w:pPr>
      <w:suppressLineNumbers/>
    </w:pPr>
  </w:style>
  <w:style w:type="paragraph" w:customStyle="1" w:styleId="Ttulo60">
    <w:name w:val="Título6"/>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6">
    <w:name w:val="Legenda6"/>
    <w:basedOn w:val="Normal"/>
    <w:rsid w:val="0015446F"/>
    <w:pPr>
      <w:suppressLineNumbers/>
      <w:spacing w:before="120" w:after="120"/>
    </w:pPr>
    <w:rPr>
      <w:i/>
      <w:iCs/>
      <w:sz w:val="24"/>
      <w:szCs w:val="24"/>
    </w:rPr>
  </w:style>
  <w:style w:type="paragraph" w:customStyle="1" w:styleId="Ttulo50">
    <w:name w:val="Título5"/>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5">
    <w:name w:val="Legenda5"/>
    <w:basedOn w:val="Normal"/>
    <w:rsid w:val="0015446F"/>
    <w:pPr>
      <w:suppressLineNumbers/>
      <w:spacing w:before="120" w:after="120"/>
    </w:pPr>
    <w:rPr>
      <w:i/>
      <w:iCs/>
      <w:sz w:val="24"/>
      <w:szCs w:val="24"/>
    </w:rPr>
  </w:style>
  <w:style w:type="paragraph" w:customStyle="1" w:styleId="Ttulo40">
    <w:name w:val="Título4"/>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4">
    <w:name w:val="Legenda4"/>
    <w:basedOn w:val="Normal"/>
    <w:rsid w:val="0015446F"/>
    <w:pPr>
      <w:suppressLineNumbers/>
      <w:spacing w:before="120" w:after="120"/>
    </w:pPr>
    <w:rPr>
      <w:i/>
      <w:iCs/>
      <w:sz w:val="24"/>
      <w:szCs w:val="24"/>
    </w:rPr>
  </w:style>
  <w:style w:type="paragraph" w:customStyle="1" w:styleId="Ttulo30">
    <w:name w:val="Título3"/>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3">
    <w:name w:val="Legenda3"/>
    <w:basedOn w:val="Normal"/>
    <w:rsid w:val="0015446F"/>
    <w:pPr>
      <w:suppressLineNumbers/>
      <w:spacing w:before="120" w:after="120"/>
    </w:pPr>
    <w:rPr>
      <w:i/>
      <w:iCs/>
      <w:sz w:val="24"/>
      <w:szCs w:val="24"/>
    </w:rPr>
  </w:style>
  <w:style w:type="paragraph" w:customStyle="1" w:styleId="Ttulo20">
    <w:name w:val="Título2"/>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2">
    <w:name w:val="Legenda2"/>
    <w:basedOn w:val="Normal"/>
    <w:rsid w:val="0015446F"/>
    <w:pPr>
      <w:suppressLineNumbers/>
      <w:spacing w:before="120" w:after="120"/>
    </w:pPr>
    <w:rPr>
      <w:i/>
      <w:iCs/>
      <w:sz w:val="24"/>
      <w:szCs w:val="24"/>
    </w:rPr>
  </w:style>
  <w:style w:type="paragraph" w:customStyle="1" w:styleId="Ttulo10">
    <w:name w:val="Título1"/>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1">
    <w:name w:val="Legenda1"/>
    <w:basedOn w:val="Normal"/>
    <w:rsid w:val="0015446F"/>
    <w:pPr>
      <w:suppressLineNumbers/>
      <w:spacing w:before="120" w:after="120"/>
    </w:pPr>
    <w:rPr>
      <w:i/>
      <w:iCs/>
      <w:sz w:val="24"/>
      <w:szCs w:val="24"/>
    </w:rPr>
  </w:style>
  <w:style w:type="paragraph" w:styleId="Cabealho">
    <w:name w:val="header"/>
    <w:basedOn w:val="Normal"/>
    <w:rsid w:val="0015446F"/>
    <w:pPr>
      <w:spacing w:after="0" w:line="240" w:lineRule="auto"/>
    </w:pPr>
  </w:style>
  <w:style w:type="paragraph" w:styleId="Rodap">
    <w:name w:val="footer"/>
    <w:basedOn w:val="Normal"/>
    <w:uiPriority w:val="99"/>
    <w:rsid w:val="0015446F"/>
    <w:pPr>
      <w:spacing w:after="0" w:line="240" w:lineRule="auto"/>
    </w:pPr>
  </w:style>
  <w:style w:type="paragraph" w:styleId="Textodebalo">
    <w:name w:val="Balloon Text"/>
    <w:basedOn w:val="Normal"/>
    <w:rsid w:val="0015446F"/>
    <w:pPr>
      <w:spacing w:after="0" w:line="240" w:lineRule="auto"/>
    </w:pPr>
    <w:rPr>
      <w:rFonts w:ascii="Tahoma" w:hAnsi="Tahoma" w:cs="Tahoma"/>
      <w:sz w:val="16"/>
      <w:szCs w:val="16"/>
    </w:rPr>
  </w:style>
  <w:style w:type="paragraph" w:customStyle="1" w:styleId="Contedodetabela">
    <w:name w:val="Conteúdo de tabela"/>
    <w:basedOn w:val="Normal"/>
    <w:rsid w:val="0015446F"/>
    <w:pPr>
      <w:suppressLineNumbers/>
    </w:pPr>
  </w:style>
  <w:style w:type="paragraph" w:customStyle="1" w:styleId="Contedodatabela">
    <w:name w:val="Conteúdo da tabela"/>
    <w:basedOn w:val="Normal"/>
    <w:rsid w:val="0015446F"/>
    <w:pPr>
      <w:suppressLineNumbers/>
    </w:pPr>
  </w:style>
  <w:style w:type="paragraph" w:customStyle="1" w:styleId="Ttulodetabela">
    <w:name w:val="Título de tabela"/>
    <w:basedOn w:val="Contedodetabela"/>
    <w:rsid w:val="0015446F"/>
    <w:pPr>
      <w:jc w:val="center"/>
    </w:pPr>
    <w:rPr>
      <w:b/>
      <w:bCs/>
    </w:rPr>
  </w:style>
  <w:style w:type="paragraph" w:styleId="NormalWeb">
    <w:name w:val="Normal (Web)"/>
    <w:basedOn w:val="Normal"/>
    <w:uiPriority w:val="99"/>
    <w:rsid w:val="0015446F"/>
    <w:pPr>
      <w:spacing w:before="100" w:after="100"/>
    </w:pPr>
    <w:rPr>
      <w:szCs w:val="24"/>
    </w:rPr>
  </w:style>
  <w:style w:type="paragraph" w:customStyle="1" w:styleId="WW-Recuodecorpodetexto2">
    <w:name w:val="WW-Recuo de corpo de texto 2"/>
    <w:basedOn w:val="Normal"/>
    <w:rsid w:val="0015446F"/>
    <w:pPr>
      <w:spacing w:before="120" w:after="0" w:line="360" w:lineRule="auto"/>
      <w:ind w:firstLine="2552"/>
      <w:jc w:val="both"/>
    </w:pPr>
    <w:rPr>
      <w:rFonts w:ascii="Times New Roman" w:hAnsi="Times New Roman" w:cs="Times New Roman"/>
      <w:sz w:val="26"/>
    </w:rPr>
  </w:style>
  <w:style w:type="paragraph" w:customStyle="1" w:styleId="Recuodecorpodetexto21">
    <w:name w:val="Recuo de corpo de texto 21"/>
    <w:basedOn w:val="Normal"/>
    <w:rsid w:val="0015446F"/>
    <w:pPr>
      <w:spacing w:after="120" w:line="480" w:lineRule="auto"/>
      <w:ind w:left="283"/>
    </w:pPr>
  </w:style>
  <w:style w:type="paragraph" w:customStyle="1" w:styleId="Corpodetexto21">
    <w:name w:val="Corpo de texto 21"/>
    <w:basedOn w:val="Normal"/>
    <w:rsid w:val="0015446F"/>
    <w:pPr>
      <w:spacing w:after="120" w:line="480" w:lineRule="auto"/>
    </w:pPr>
  </w:style>
  <w:style w:type="character" w:customStyle="1" w:styleId="Ttulo1Char">
    <w:name w:val="Título 1 Char"/>
    <w:link w:val="Ttulo1"/>
    <w:rsid w:val="001F20AB"/>
    <w:rPr>
      <w:rFonts w:ascii="Arial" w:eastAsia="Calibri" w:hAnsi="Arial" w:cs="Arial"/>
      <w:b/>
      <w:bCs/>
      <w:kern w:val="32"/>
      <w:sz w:val="32"/>
      <w:szCs w:val="32"/>
      <w:lang w:eastAsia="en-US"/>
    </w:rPr>
  </w:style>
  <w:style w:type="paragraph" w:styleId="PargrafodaLista">
    <w:name w:val="List Paragraph"/>
    <w:basedOn w:val="Normal"/>
    <w:uiPriority w:val="34"/>
    <w:qFormat/>
    <w:rsid w:val="00014BC0"/>
    <w:pPr>
      <w:suppressAutoHyphens w:val="0"/>
      <w:spacing w:after="160" w:line="259" w:lineRule="auto"/>
      <w:ind w:left="720"/>
      <w:contextualSpacing/>
    </w:pPr>
    <w:rPr>
      <w:rFonts w:cs="Times New Roman"/>
      <w:lang w:eastAsia="en-US"/>
    </w:rPr>
  </w:style>
  <w:style w:type="character" w:customStyle="1" w:styleId="CorpodetextoChar">
    <w:name w:val="Corpo de texto Char"/>
    <w:basedOn w:val="Fontepargpadro"/>
    <w:link w:val="Corpodetexto"/>
    <w:rsid w:val="007F7318"/>
    <w:rPr>
      <w:rFonts w:ascii="Calibri" w:eastAsia="Calibri" w:hAnsi="Calibri" w:cs="Calibri"/>
      <w:sz w:val="22"/>
      <w:szCs w:val="22"/>
      <w:lang w:eastAsia="zh-CN"/>
    </w:rPr>
  </w:style>
  <w:style w:type="character" w:customStyle="1" w:styleId="Ttulo4Char">
    <w:name w:val="Título 4 Char"/>
    <w:basedOn w:val="Fontepargpadro"/>
    <w:link w:val="Ttulo4"/>
    <w:rsid w:val="0085579A"/>
    <w:rPr>
      <w:rFonts w:ascii="Arial" w:eastAsia="Calibri" w:hAnsi="Arial"/>
      <w:bCs/>
      <w:iCs/>
      <w:sz w:val="22"/>
      <w:szCs w:val="22"/>
      <w:lang w:eastAsia="en-US"/>
    </w:rPr>
  </w:style>
  <w:style w:type="character" w:customStyle="1" w:styleId="Ttulo6Char">
    <w:name w:val="Título 6 Char"/>
    <w:basedOn w:val="Fontepargpadro"/>
    <w:link w:val="Ttulo6"/>
    <w:rsid w:val="0085579A"/>
    <w:rPr>
      <w:rFonts w:ascii="Cambria" w:hAnsi="Cambria"/>
      <w:i/>
      <w:iCs/>
      <w:color w:val="243F60"/>
      <w:sz w:val="22"/>
      <w:szCs w:val="22"/>
      <w:lang w:eastAsia="en-US"/>
    </w:rPr>
  </w:style>
  <w:style w:type="character" w:customStyle="1" w:styleId="Ttulo9Char">
    <w:name w:val="Título 9 Char"/>
    <w:aliases w:val="Diarios Char"/>
    <w:basedOn w:val="Fontepargpadro"/>
    <w:link w:val="Ttulo9"/>
    <w:rsid w:val="0085579A"/>
    <w:rPr>
      <w:rFonts w:ascii="Cambria"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68">
      <w:bodyDiv w:val="1"/>
      <w:marLeft w:val="0"/>
      <w:marRight w:val="0"/>
      <w:marTop w:val="0"/>
      <w:marBottom w:val="0"/>
      <w:divBdr>
        <w:top w:val="none" w:sz="0" w:space="0" w:color="auto"/>
        <w:left w:val="none" w:sz="0" w:space="0" w:color="auto"/>
        <w:bottom w:val="none" w:sz="0" w:space="0" w:color="auto"/>
        <w:right w:val="none" w:sz="0" w:space="0" w:color="auto"/>
      </w:divBdr>
    </w:div>
    <w:div w:id="245774378">
      <w:bodyDiv w:val="1"/>
      <w:marLeft w:val="0"/>
      <w:marRight w:val="0"/>
      <w:marTop w:val="0"/>
      <w:marBottom w:val="0"/>
      <w:divBdr>
        <w:top w:val="none" w:sz="0" w:space="0" w:color="auto"/>
        <w:left w:val="none" w:sz="0" w:space="0" w:color="auto"/>
        <w:bottom w:val="none" w:sz="0" w:space="0" w:color="auto"/>
        <w:right w:val="none" w:sz="0" w:space="0" w:color="auto"/>
      </w:divBdr>
    </w:div>
    <w:div w:id="598026395">
      <w:bodyDiv w:val="1"/>
      <w:marLeft w:val="0"/>
      <w:marRight w:val="0"/>
      <w:marTop w:val="0"/>
      <w:marBottom w:val="0"/>
      <w:divBdr>
        <w:top w:val="none" w:sz="0" w:space="0" w:color="auto"/>
        <w:left w:val="none" w:sz="0" w:space="0" w:color="auto"/>
        <w:bottom w:val="none" w:sz="0" w:space="0" w:color="auto"/>
        <w:right w:val="none" w:sz="0" w:space="0" w:color="auto"/>
      </w:divBdr>
    </w:div>
    <w:div w:id="645085138">
      <w:bodyDiv w:val="1"/>
      <w:marLeft w:val="0"/>
      <w:marRight w:val="0"/>
      <w:marTop w:val="0"/>
      <w:marBottom w:val="0"/>
      <w:divBdr>
        <w:top w:val="none" w:sz="0" w:space="0" w:color="auto"/>
        <w:left w:val="none" w:sz="0" w:space="0" w:color="auto"/>
        <w:bottom w:val="none" w:sz="0" w:space="0" w:color="auto"/>
        <w:right w:val="none" w:sz="0" w:space="0" w:color="auto"/>
      </w:divBdr>
    </w:div>
    <w:div w:id="1062678932">
      <w:bodyDiv w:val="1"/>
      <w:marLeft w:val="0"/>
      <w:marRight w:val="0"/>
      <w:marTop w:val="0"/>
      <w:marBottom w:val="0"/>
      <w:divBdr>
        <w:top w:val="none" w:sz="0" w:space="0" w:color="auto"/>
        <w:left w:val="none" w:sz="0" w:space="0" w:color="auto"/>
        <w:bottom w:val="none" w:sz="0" w:space="0" w:color="auto"/>
        <w:right w:val="none" w:sz="0" w:space="0" w:color="auto"/>
      </w:divBdr>
    </w:div>
    <w:div w:id="1275987958">
      <w:bodyDiv w:val="1"/>
      <w:marLeft w:val="0"/>
      <w:marRight w:val="0"/>
      <w:marTop w:val="0"/>
      <w:marBottom w:val="0"/>
      <w:divBdr>
        <w:top w:val="none" w:sz="0" w:space="0" w:color="auto"/>
        <w:left w:val="none" w:sz="0" w:space="0" w:color="auto"/>
        <w:bottom w:val="none" w:sz="0" w:space="0" w:color="auto"/>
        <w:right w:val="none" w:sz="0" w:space="0" w:color="auto"/>
      </w:divBdr>
    </w:div>
    <w:div w:id="1481773271">
      <w:bodyDiv w:val="1"/>
      <w:marLeft w:val="0"/>
      <w:marRight w:val="0"/>
      <w:marTop w:val="0"/>
      <w:marBottom w:val="0"/>
      <w:divBdr>
        <w:top w:val="none" w:sz="0" w:space="0" w:color="auto"/>
        <w:left w:val="none" w:sz="0" w:space="0" w:color="auto"/>
        <w:bottom w:val="none" w:sz="0" w:space="0" w:color="auto"/>
        <w:right w:val="none" w:sz="0" w:space="0" w:color="auto"/>
      </w:divBdr>
    </w:div>
    <w:div w:id="1623732073">
      <w:bodyDiv w:val="1"/>
      <w:marLeft w:val="0"/>
      <w:marRight w:val="0"/>
      <w:marTop w:val="0"/>
      <w:marBottom w:val="0"/>
      <w:divBdr>
        <w:top w:val="none" w:sz="0" w:space="0" w:color="auto"/>
        <w:left w:val="none" w:sz="0" w:space="0" w:color="auto"/>
        <w:bottom w:val="none" w:sz="0" w:space="0" w:color="auto"/>
        <w:right w:val="none" w:sz="0" w:space="0" w:color="auto"/>
      </w:divBdr>
    </w:div>
    <w:div w:id="1792507343">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2140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4568</TotalTime>
  <Pages>1</Pages>
  <Words>5923</Words>
  <Characters>31989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Valmir de Rós</cp:lastModifiedBy>
  <cp:revision>18</cp:revision>
  <cp:lastPrinted>2023-07-28T11:33:00Z</cp:lastPrinted>
  <dcterms:created xsi:type="dcterms:W3CDTF">2023-12-20T11:38:00Z</dcterms:created>
  <dcterms:modified xsi:type="dcterms:W3CDTF">2024-01-19T10:49:00Z</dcterms:modified>
</cp:coreProperties>
</file>